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水府发〔2022〕65号附件3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p>
    <w:tbl>
      <w:tblPr>
        <w:tblStyle w:val="6"/>
        <w:tblW w:w="13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822"/>
        <w:gridCol w:w="2944"/>
        <w:gridCol w:w="1900"/>
        <w:gridCol w:w="1407"/>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3697" w:type="dxa"/>
            <w:gridSpan w:val="6"/>
            <w:vAlign w:val="center"/>
          </w:tcPr>
          <w:p>
            <w:pPr>
              <w:widowControl w:val="0"/>
              <w:jc w:val="center"/>
              <w:textAlignment w:val="center"/>
              <w:rPr>
                <w:rFonts w:hint="eastAsia" w:ascii="方正小标宋简体" w:hAnsi="方正小标宋简体" w:eastAsia="方正小标宋简体" w:cs="方正小标宋简体"/>
                <w:b/>
                <w:color w:val="auto"/>
                <w:kern w:val="2"/>
                <w:sz w:val="44"/>
                <w:szCs w:val="44"/>
                <w:lang w:val="en-US" w:eastAsia="zh-CN"/>
              </w:rPr>
            </w:pPr>
            <w:r>
              <w:rPr>
                <w:rFonts w:hint="eastAsia" w:ascii="方正小标宋简体" w:hAnsi="方正小标宋简体" w:eastAsia="方正小标宋简体" w:cs="方正小标宋简体"/>
                <w:sz w:val="44"/>
                <w:szCs w:val="44"/>
                <w:lang w:val="en-US" w:eastAsia="zh-CN"/>
              </w:rPr>
              <w:t>水城区人民政府现行有效行政规范性文件目录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89" w:type="dxa"/>
            <w:vAlign w:val="center"/>
          </w:tcPr>
          <w:p>
            <w:pPr>
              <w:widowControl w:val="0"/>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cs="宋体"/>
                <w:b/>
                <w:color w:val="auto"/>
                <w:kern w:val="0"/>
                <w:sz w:val="22"/>
                <w:szCs w:val="22"/>
              </w:rPr>
              <w:t>序号</w:t>
            </w:r>
          </w:p>
        </w:tc>
        <w:tc>
          <w:tcPr>
            <w:tcW w:w="3822" w:type="dxa"/>
            <w:vAlign w:val="center"/>
          </w:tcPr>
          <w:p>
            <w:pPr>
              <w:widowControl w:val="0"/>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cs="宋体"/>
                <w:b/>
                <w:color w:val="auto"/>
                <w:kern w:val="0"/>
                <w:sz w:val="22"/>
                <w:szCs w:val="22"/>
                <w:lang w:val="en-US" w:eastAsia="zh-CN"/>
              </w:rPr>
              <w:t>文件标题</w:t>
            </w:r>
          </w:p>
        </w:tc>
        <w:tc>
          <w:tcPr>
            <w:tcW w:w="2944" w:type="dxa"/>
            <w:vAlign w:val="center"/>
          </w:tcPr>
          <w:p>
            <w:pPr>
              <w:widowControl w:val="0"/>
              <w:jc w:val="center"/>
              <w:textAlignment w:val="center"/>
              <w:rPr>
                <w:rFonts w:hint="eastAsia" w:ascii="宋体" w:hAnsi="宋体" w:eastAsia="宋体" w:cs="宋体"/>
                <w:b/>
                <w:color w:val="auto"/>
                <w:kern w:val="0"/>
                <w:sz w:val="22"/>
                <w:szCs w:val="22"/>
                <w:lang w:val="en-US" w:eastAsia="zh-CN" w:bidi="ar-SA"/>
              </w:rPr>
            </w:pPr>
            <w:r>
              <w:rPr>
                <w:rFonts w:hint="eastAsia" w:ascii="宋体" w:hAnsi="宋体" w:cs="宋体"/>
                <w:b/>
                <w:color w:val="auto"/>
                <w:kern w:val="0"/>
                <w:sz w:val="22"/>
                <w:szCs w:val="22"/>
                <w:lang w:val="en-US" w:eastAsia="zh-CN"/>
              </w:rPr>
              <w:t>文号</w:t>
            </w:r>
          </w:p>
        </w:tc>
        <w:tc>
          <w:tcPr>
            <w:tcW w:w="1900" w:type="dxa"/>
            <w:vAlign w:val="center"/>
          </w:tcPr>
          <w:p>
            <w:pPr>
              <w:widowControl w:val="0"/>
              <w:jc w:val="center"/>
              <w:textAlignment w:val="center"/>
              <w:rPr>
                <w:rFonts w:hint="eastAsia" w:ascii="宋体" w:hAnsi="宋体" w:eastAsia="宋体" w:cs="宋体"/>
                <w:b/>
                <w:color w:val="auto"/>
                <w:kern w:val="0"/>
                <w:sz w:val="22"/>
                <w:szCs w:val="22"/>
                <w:lang w:val="en-US" w:eastAsia="zh-CN" w:bidi="ar-SA"/>
              </w:rPr>
            </w:pPr>
            <w:r>
              <w:rPr>
                <w:rFonts w:hint="eastAsia" w:ascii="宋体" w:hAnsi="宋体" w:cs="宋体"/>
                <w:b/>
                <w:color w:val="auto"/>
                <w:kern w:val="0"/>
                <w:sz w:val="22"/>
                <w:szCs w:val="22"/>
              </w:rPr>
              <w:t>发布日期</w:t>
            </w:r>
          </w:p>
        </w:tc>
        <w:tc>
          <w:tcPr>
            <w:tcW w:w="1407" w:type="dxa"/>
            <w:vAlign w:val="center"/>
          </w:tcPr>
          <w:p>
            <w:pPr>
              <w:widowControl w:val="0"/>
              <w:jc w:val="center"/>
              <w:textAlignment w:val="center"/>
              <w:rPr>
                <w:rFonts w:hint="eastAsia" w:ascii="宋体" w:hAnsi="宋体" w:eastAsia="宋体" w:cs="宋体"/>
                <w:b/>
                <w:color w:val="auto"/>
                <w:kern w:val="0"/>
                <w:sz w:val="22"/>
                <w:szCs w:val="22"/>
                <w:lang w:val="en-US" w:eastAsia="zh-CN" w:bidi="ar-SA"/>
              </w:rPr>
            </w:pPr>
            <w:r>
              <w:rPr>
                <w:rFonts w:hint="eastAsia" w:ascii="宋体" w:hAnsi="宋体" w:cs="宋体"/>
                <w:b/>
                <w:color w:val="auto"/>
                <w:kern w:val="0"/>
                <w:sz w:val="22"/>
                <w:szCs w:val="22"/>
                <w:lang w:val="en-US" w:eastAsia="zh-CN"/>
              </w:rPr>
              <w:t>起草部门</w:t>
            </w:r>
          </w:p>
        </w:tc>
        <w:tc>
          <w:tcPr>
            <w:tcW w:w="2735" w:type="dxa"/>
            <w:vAlign w:val="center"/>
          </w:tcPr>
          <w:p>
            <w:pPr>
              <w:widowControl w:val="0"/>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cs="宋体"/>
                <w:b/>
                <w:color w:val="auto"/>
                <w:kern w:val="0"/>
                <w:sz w:val="22"/>
                <w:szCs w:val="22"/>
              </w:rPr>
              <w:t>制定机关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889" w:type="dxa"/>
            <w:vAlign w:val="center"/>
          </w:tcPr>
          <w:p>
            <w:pPr>
              <w:widowControl w:val="0"/>
              <w:jc w:val="center"/>
              <w:rPr>
                <w:rFonts w:hint="eastAsia" w:ascii="Times New Roman" w:hAnsi="Times New Roman" w:eastAsia="宋体" w:cs="Times New Roman"/>
                <w:kern w:val="2"/>
                <w:sz w:val="21"/>
                <w:vertAlign w:val="baseline"/>
                <w:lang w:val="en-US" w:eastAsia="zh-CN"/>
              </w:rPr>
            </w:pPr>
            <w:r>
              <w:rPr>
                <w:rFonts w:hint="eastAsia"/>
                <w:vertAlign w:val="baseline"/>
                <w:lang w:val="en-US" w:eastAsia="zh-CN"/>
              </w:rPr>
              <w:t>1</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2"/>
                <w:sz w:val="22"/>
                <w:szCs w:val="22"/>
                <w:lang w:val="en-US" w:eastAsia="zh-CN"/>
              </w:rPr>
            </w:pPr>
            <w:r>
              <w:rPr>
                <w:rFonts w:hint="default" w:ascii="宋体" w:hAnsi="宋体" w:eastAsia="宋体" w:cs="宋体"/>
                <w:color w:val="auto"/>
                <w:kern w:val="2"/>
                <w:sz w:val="22"/>
                <w:szCs w:val="22"/>
                <w:lang w:val="en-US" w:eastAsia="zh-CN"/>
              </w:rPr>
              <w:t>六盘水市水城区人民政府森林防火禁火令</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2022-10-14</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 xml:space="preserve">林业 </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rPr>
              <w:t>六盘水市水城区人民政府办公室关于印发六盘水市水城区安全生产领域重大事故隐患和非法违法行为举报奖励办法的通知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水府办发〔2022〕42号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2022-8-5</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应急</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default" w:ascii="宋体" w:hAnsi="宋体" w:eastAsia="宋体" w:cs="宋体"/>
                <w:color w:val="auto"/>
                <w:kern w:val="2"/>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rPr>
              <w:t>六盘水市水城区人民政府办公室关于印发六盘水市水城区农村饮水安全工程运行管护实施细则（试行）的通知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水府办发〔2021〕69号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2021-11-30</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水务</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4</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六盘水市水城区人民政府办公室关于印发六盘水市水城区中心城区公办学校小学一年级积分入学实施办法（试行）的通知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水府办发〔2021〕39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2021-06-24</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教育</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5</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rPr>
              <w:t>六盘水市水城区人民政府关于双水闲置土地清理的通告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水府通告〔2021〕3号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2"/>
                <w:sz w:val="32"/>
                <w:szCs w:val="32"/>
                <w:u w:val="none"/>
                <w:lang w:val="en-US" w:eastAsia="zh-CN" w:bidi="ar-SA"/>
              </w:rPr>
            </w:pPr>
            <w:r>
              <w:rPr>
                <w:rFonts w:hint="eastAsia" w:ascii="宋体" w:hAnsi="宋体" w:eastAsia="宋体" w:cs="宋体"/>
                <w:color w:val="auto"/>
                <w:kern w:val="2"/>
                <w:sz w:val="22"/>
                <w:szCs w:val="22"/>
                <w:lang w:val="en-US" w:eastAsia="zh-CN"/>
              </w:rPr>
              <w:t>2021-10-8</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自然资源</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6</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rPr>
              <w:t>六盘水市水城区人民政府办公室关于印发六盘水市水城区“两违”建筑管控工作实施办法的通知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水府办发〔2021〕15号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kern w:val="0"/>
                <w:sz w:val="22"/>
                <w:szCs w:val="22"/>
                <w:lang w:val="en-US" w:eastAsia="zh-CN"/>
              </w:rPr>
              <w:t>2021-3-1</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自然资源</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7</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2"/>
                <w:szCs w:val="22"/>
                <w:u w:val="none"/>
                <w:lang w:val="en-US" w:eastAsia="zh-CN"/>
              </w:rPr>
              <w:t>水城县人民政府办公室关于印发水城猕猴桃地理标志产品管理办法(修订版）的通知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rPr>
              <w:t>水府办发〔2020〕62号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eastAsia="宋体" w:cs="宋体"/>
                <w:color w:val="auto"/>
                <w:kern w:val="0"/>
                <w:sz w:val="22"/>
                <w:szCs w:val="22"/>
              </w:rPr>
              <w:t>2020</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5</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30 </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eastAsia="宋体" w:cs="宋体"/>
                <w:i w:val="0"/>
                <w:iCs w:val="0"/>
                <w:caps w:val="0"/>
                <w:color w:val="auto"/>
                <w:spacing w:val="0"/>
                <w:sz w:val="22"/>
                <w:szCs w:val="22"/>
                <w:shd w:val="clear" w:fill="FFFFFF"/>
              </w:rPr>
              <w:t>县东部园区管委会</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8</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2"/>
                <w:szCs w:val="22"/>
                <w:u w:val="none"/>
                <w:lang w:val="en-US" w:eastAsia="zh-CN"/>
              </w:rPr>
              <w:t>水城县人民政府办公室关于印发水城县残疾儿童康复救助实施办法的通知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rPr>
              <w:t>水府办发〔2019〕122号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iCs w:val="0"/>
                <w:caps w:val="0"/>
                <w:color w:val="auto"/>
                <w:spacing w:val="0"/>
                <w:sz w:val="22"/>
                <w:szCs w:val="22"/>
              </w:rPr>
              <w:t>2019</w:t>
            </w:r>
            <w:r>
              <w:rPr>
                <w:rFonts w:hint="eastAsia" w:ascii="宋体" w:hAnsi="宋体" w:eastAsia="宋体" w:cs="宋体"/>
                <w:i w:val="0"/>
                <w:iCs w:val="0"/>
                <w:caps w:val="0"/>
                <w:color w:val="auto"/>
                <w:spacing w:val="0"/>
                <w:sz w:val="22"/>
                <w:szCs w:val="22"/>
                <w:lang w:val="en-US" w:eastAsia="zh-CN"/>
              </w:rPr>
              <w:t>-</w:t>
            </w:r>
            <w:r>
              <w:rPr>
                <w:rFonts w:hint="eastAsia" w:ascii="宋体" w:hAnsi="宋体" w:eastAsia="宋体" w:cs="宋体"/>
                <w:i w:val="0"/>
                <w:iCs w:val="0"/>
                <w:caps w:val="0"/>
                <w:color w:val="auto"/>
                <w:spacing w:val="0"/>
                <w:sz w:val="22"/>
                <w:szCs w:val="22"/>
              </w:rPr>
              <w:t>9</w:t>
            </w:r>
            <w:r>
              <w:rPr>
                <w:rFonts w:hint="eastAsia" w:ascii="宋体" w:hAnsi="宋体" w:eastAsia="宋体" w:cs="宋体"/>
                <w:i w:val="0"/>
                <w:iCs w:val="0"/>
                <w:caps w:val="0"/>
                <w:color w:val="auto"/>
                <w:spacing w:val="0"/>
                <w:sz w:val="22"/>
                <w:szCs w:val="22"/>
                <w:lang w:val="en-US" w:eastAsia="zh-CN"/>
              </w:rPr>
              <w:t>-</w:t>
            </w:r>
            <w:r>
              <w:rPr>
                <w:rFonts w:hint="eastAsia" w:ascii="宋体" w:hAnsi="宋体" w:eastAsia="宋体" w:cs="宋体"/>
                <w:i w:val="0"/>
                <w:iCs w:val="0"/>
                <w:caps w:val="0"/>
                <w:color w:val="auto"/>
                <w:spacing w:val="0"/>
                <w:sz w:val="22"/>
                <w:szCs w:val="22"/>
              </w:rPr>
              <w:t>17 </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iCs w:val="0"/>
                <w:caps w:val="0"/>
                <w:color w:val="auto"/>
                <w:spacing w:val="0"/>
                <w:sz w:val="22"/>
                <w:szCs w:val="22"/>
              </w:rPr>
              <w:t>水城县残疾人联合会</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水城区人民政府办公室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9</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水城县人民政府办公室关于印发《水城县农村产权抵押担保登记管理暂行办法》的通知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水府办发〔2018〕181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2018-11-26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10</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水城县人民政府关于双水城区禁用燃煤的通告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水府通告〔2018〕4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2018-11-20</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能源</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11</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水城县人民政府关于禁止在贵州省水城县梁家沟水库工程淹没区和施工区新增建设项目和迁入人口的通告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水府通告〔2018〕3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2018-08-30</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12</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水城县人民政府关于在限制燃煤区内禁止经营行为使用燃煤的通告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水府通告〔2018〕2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2018-06-04</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能源</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13</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水城县人民政府关于禁止在贵州省水城县塘草坝水库工程淹没区和施工区新增建设项目和迁入人口的通告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水府通告〔2017〕4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2017-09-06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14</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水城县人民政府关于禁止在贵州省水城县谢家水库工程淹没区和施工区新增建设项目和迁入人口的通告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水府通告〔2017〕3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2017-09-06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15</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水城县人民政府关于禁止在贵州省水城县鱼目柱水库工程淹没区和施工区新增建设项目和嵌入人口通告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水府通告〔2017〕2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2017-09-06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16</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水城县人民政府办公室关于印发《水城县畜禽养殖禁养区划定方案》的通知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水府办发〔2017〕247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2017-12-19</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17</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水城县人民政府办公室关于印发《水城县林权抵押贷款实施办法》《水城县农村土地流转的经营权抵押贷款实施办法》的通知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水府办发〔2017〕262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2017-12-29</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18</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水城县人民政府办公室关于印发水城县农业转移人口住房保障工作实施方案的通知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水府办发〔2016〕195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2016-11-23</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住房与建设</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89" w:type="dxa"/>
            <w:vAlign w:val="center"/>
          </w:tcPr>
          <w:p>
            <w:pPr>
              <w:widowControl w:val="0"/>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19</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水城县人民政府办公室关于印发《水城县医疗救助实施办法》的通知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水府办发〔2016〕129号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2016-08-23</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医疗</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20</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水城县人民政府办公室关于印发水城县农村承包土地的经营权流转交易规则的通知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水府办发〔2016〕216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2016-12-15</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21</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水城县人民政府办公室关于印发水城县农村承包土地的经营权抵押贷款交易规则的通知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水府办发〔2016〕215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2016-12-15</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22</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水城县人民政府办公室关于印发水城县林权流转交易规则的通知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水府办发〔2016〕217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2016-12-15</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23</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水城县人民政府办公室关于印发《水城县农村土地承包经营权确权登记颁证实施细则（试行）》的通知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水府办发〔2015〕118号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2015-06-25</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农业农村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vertAlign w:val="baseline"/>
                <w:lang w:val="en-US" w:eastAsia="zh-CN"/>
              </w:rPr>
              <w:t>24</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水城县人民政府办公室关于印发政府向社会力量购买服务办法的通知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水府办发〔2015〕237 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2015-11-13</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财政</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vertAlign w:val="baseline"/>
                <w:lang w:val="en-US" w:eastAsia="zh-CN"/>
              </w:rPr>
              <w:t>25</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水城县人民政府办公室关于印发《水城县农村公益性公墓建设和管理实施方案》的通知</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水府办发〔2015〕130号</w:t>
            </w: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2015-06-26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民政</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26</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水城县人民政府关于禁止在贵州省水城县赵家河水库工程淹没区和施工区新增建设项目和迁入人口的通告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2013-03-08</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vertAlign w:val="baseline"/>
                <w:lang w:val="en-US" w:eastAsia="zh-CN"/>
              </w:rPr>
              <w:t>27</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水城县人民政府关于禁止在贵州省水城县雨汪河水库工程淹没区和施工区新增建设项目和迁入人口的通告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2013-03-08</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vertAlign w:val="baseline"/>
                <w:lang w:val="en-US" w:eastAsia="zh-CN"/>
              </w:rPr>
              <w:t>28</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水城县人民政府关于禁止在贵州省水城县小冲水库工程淹没区和施工区新增建设项目和迁入人口的通告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2013-07-01</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vertAlign w:val="baseline"/>
                <w:lang w:val="en-US" w:eastAsia="zh-CN"/>
              </w:rPr>
              <w:t>29</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水城县人民政府关于禁止在贵州省水城县彭家桥水库工程淹没区和施工区新增建设项目和迁入人口的通告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2013-01-08</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89" w:type="dxa"/>
            <w:vAlign w:val="center"/>
          </w:tcPr>
          <w:p>
            <w:pPr>
              <w:widowControl w:val="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vertAlign w:val="baseline"/>
                <w:lang w:val="en-US" w:eastAsia="zh-CN"/>
              </w:rPr>
              <w:t>30</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水城县人民政府关于禁止在贵州省水城县沟座水库工程淹没区和施工区新增建设项目和迁入人口的通告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2013-03-04</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889" w:type="dxa"/>
            <w:vAlign w:val="center"/>
          </w:tcPr>
          <w:p>
            <w:pPr>
              <w:widowControl w:val="0"/>
              <w:jc w:val="center"/>
              <w:rPr>
                <w:rFonts w:hint="default" w:ascii="Times New Roman" w:hAnsi="Times New Roman" w:eastAsia="宋体" w:cs="Times New Roman"/>
                <w:kern w:val="2"/>
                <w:sz w:val="21"/>
                <w:vertAlign w:val="baseline"/>
                <w:lang w:val="en-US" w:eastAsia="zh-CN"/>
              </w:rPr>
            </w:pPr>
            <w:r>
              <w:rPr>
                <w:rFonts w:hint="eastAsia" w:ascii="Times New Roman" w:hAnsi="Times New Roman" w:eastAsia="宋体" w:cs="Times New Roman"/>
                <w:kern w:val="2"/>
                <w:sz w:val="21"/>
                <w:vertAlign w:val="baseline"/>
                <w:lang w:val="en-US" w:eastAsia="zh-CN"/>
              </w:rPr>
              <w:t>31</w:t>
            </w:r>
          </w:p>
        </w:tc>
        <w:tc>
          <w:tcPr>
            <w:tcW w:w="38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2"/>
                <w:szCs w:val="22"/>
                <w:lang w:val="en-US" w:eastAsia="zh-CN"/>
              </w:rPr>
            </w:pPr>
            <w:r>
              <w:rPr>
                <w:rFonts w:hint="eastAsia" w:ascii="宋体" w:hAnsi="宋体" w:cs="宋体"/>
                <w:color w:val="auto"/>
                <w:kern w:val="0"/>
                <w:sz w:val="22"/>
                <w:szCs w:val="22"/>
              </w:rPr>
              <w:t>水城县人民政府关于禁止在贵州省水城县大滩子水库工程淹没区和施工区新增建设项目和迁入人口的通告</w:t>
            </w:r>
          </w:p>
        </w:tc>
        <w:tc>
          <w:tcPr>
            <w:tcW w:w="29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p>
        </w:tc>
        <w:tc>
          <w:tcPr>
            <w:tcW w:w="1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2013-02-26</w:t>
            </w:r>
          </w:p>
        </w:tc>
        <w:tc>
          <w:tcPr>
            <w:tcW w:w="14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生态移民</w:t>
            </w:r>
          </w:p>
        </w:tc>
        <w:tc>
          <w:tcPr>
            <w:tcW w:w="2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rPr>
              <w:t>水城区人民政府</w:t>
            </w:r>
          </w:p>
        </w:tc>
      </w:tr>
    </w:tbl>
    <w:p>
      <w:pPr>
        <w:rPr>
          <w:rFonts w:hint="default"/>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mI2YWMyYzliMjRhYzU3MTAzNjFiY2NlM2RlNzQifQ=="/>
  </w:docVars>
  <w:rsids>
    <w:rsidRoot w:val="2DAF3421"/>
    <w:rsid w:val="043D6C25"/>
    <w:rsid w:val="0A960764"/>
    <w:rsid w:val="0BE34556"/>
    <w:rsid w:val="176741E4"/>
    <w:rsid w:val="1F095F07"/>
    <w:rsid w:val="20A538E9"/>
    <w:rsid w:val="290313AF"/>
    <w:rsid w:val="2B3927C6"/>
    <w:rsid w:val="2DAF3421"/>
    <w:rsid w:val="30B005FB"/>
    <w:rsid w:val="3A726921"/>
    <w:rsid w:val="418D5088"/>
    <w:rsid w:val="466B6511"/>
    <w:rsid w:val="4A5D6CA6"/>
    <w:rsid w:val="57CA7C61"/>
    <w:rsid w:val="59FD3F0B"/>
    <w:rsid w:val="5FCF3D4A"/>
    <w:rsid w:val="615F4877"/>
    <w:rsid w:val="62E902EF"/>
    <w:rsid w:val="67E10ABE"/>
    <w:rsid w:val="6CB2260A"/>
    <w:rsid w:val="72785B7B"/>
    <w:rsid w:val="762322A2"/>
    <w:rsid w:val="78A37997"/>
    <w:rsid w:val="7E7C15B4"/>
    <w:rsid w:val="7E8B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1910</Words>
  <Characters>2307</Characters>
  <Lines>0</Lines>
  <Paragraphs>0</Paragraphs>
  <TotalTime>2</TotalTime>
  <ScaleCrop>false</ScaleCrop>
  <LinksUpToDate>false</LinksUpToDate>
  <CharactersWithSpaces>2323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2022-10-31T06:50:00Z</dcterms:created>
  <dc:creator>陈丽</dc:creator>
  <cp:lastModifiedBy>公文收文员（水城区政府办）</cp:lastModifiedBy>
  <dcterms:modified xsi:type="dcterms:W3CDTF">2022-12-22T01:29:37Z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7F27466629D14080BD7B6186EE5BA524</vt:lpwstr>
  </property>
</Properties>
</file>