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20" w:lineRule="exact"/>
        <w:jc w:val="center"/>
        <w:rPr>
          <w:rFonts w:hint="eastAsia" w:ascii="方正小标宋简体" w:hAnsi="方正小标宋简体" w:eastAsia="方正小标宋简体" w:cs="方正小标宋简体"/>
          <w:sz w:val="42"/>
          <w:szCs w:val="42"/>
        </w:rPr>
      </w:pPr>
      <w:bookmarkStart w:id="0" w:name="_GoBack"/>
      <w:bookmarkEnd w:id="0"/>
      <w:r>
        <w:rPr>
          <w:rFonts w:hint="eastAsia" w:ascii="方正小标宋简体" w:hAnsi="方正小标宋简体" w:eastAsia="方正小标宋简体" w:cs="方正小标宋简体"/>
          <w:sz w:val="42"/>
          <w:szCs w:val="42"/>
        </w:rPr>
        <w:t>六盘水市水城区</w:t>
      </w:r>
      <w:r>
        <w:rPr>
          <w:rFonts w:hint="eastAsia" w:ascii="方正小标宋简体" w:hAnsi="方正小标宋简体" w:eastAsia="方正小标宋简体" w:cs="方正小标宋简体"/>
          <w:sz w:val="42"/>
          <w:szCs w:val="42"/>
          <w:lang w:eastAsia="zh-CN"/>
        </w:rPr>
        <w:t>阿戛镇</w:t>
      </w:r>
      <w:r>
        <w:rPr>
          <w:rFonts w:hint="eastAsia" w:ascii="方正小标宋简体" w:hAnsi="方正小标宋简体" w:eastAsia="方正小标宋简体" w:cs="方正小标宋简体"/>
          <w:sz w:val="42"/>
          <w:szCs w:val="42"/>
        </w:rPr>
        <w:t>人民政府2021年</w:t>
      </w:r>
    </w:p>
    <w:p>
      <w:pPr>
        <w:spacing w:line="720" w:lineRule="exact"/>
        <w:jc w:val="center"/>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部门整体支出绩效自评报告</w:t>
      </w:r>
    </w:p>
    <w:p>
      <w:pPr>
        <w:spacing w:line="560" w:lineRule="exact"/>
        <w:ind w:firstLine="640" w:firstLineChars="200"/>
        <w:rPr>
          <w:rFonts w:ascii="仿宋_GB2312" w:hAnsi="仿宋_GB2312" w:cs="仿宋_GB2312"/>
        </w:rPr>
      </w:pPr>
    </w:p>
    <w:p>
      <w:pPr>
        <w:numPr>
          <w:ilvl w:val="0"/>
          <w:numId w:val="1"/>
        </w:num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基本情况</w:t>
      </w:r>
    </w:p>
    <w:p>
      <w:pPr>
        <w:numPr>
          <w:ilvl w:val="0"/>
          <w:numId w:val="0"/>
        </w:numPr>
        <w:spacing w:line="560" w:lineRule="exact"/>
        <w:ind w:firstLine="600" w:firstLineChars="200"/>
        <w:rPr>
          <w:rFonts w:hint="eastAsia" w:ascii="仿宋" w:hAnsi="仿宋" w:eastAsia="仿宋" w:cs="仿宋"/>
          <w:sz w:val="30"/>
          <w:szCs w:val="30"/>
          <w:lang w:val="en-US" w:eastAsia="zh-CN" w:bidi="ar-SA"/>
        </w:rPr>
      </w:pPr>
      <w:r>
        <w:rPr>
          <w:rFonts w:hint="eastAsia" w:ascii="仿宋" w:hAnsi="仿宋" w:eastAsia="仿宋" w:cs="仿宋"/>
          <w:sz w:val="30"/>
          <w:szCs w:val="30"/>
          <w:lang w:val="en-US" w:eastAsia="zh-CN" w:bidi="ar-SA"/>
        </w:rPr>
        <w:t>1、部门机构设置情况</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（一）</w:t>
      </w:r>
      <w:r>
        <w:rPr>
          <w:rFonts w:hint="eastAsia" w:ascii="仿宋" w:hAnsi="仿宋" w:eastAsia="仿宋" w:cs="仿宋"/>
          <w:b w:val="0"/>
          <w:bCs w:val="0"/>
          <w:sz w:val="30"/>
          <w:szCs w:val="30"/>
          <w:lang w:eastAsia="zh-CN"/>
        </w:rPr>
        <w:t>阿戛镇</w:t>
      </w:r>
      <w:r>
        <w:rPr>
          <w:rFonts w:hint="eastAsia" w:ascii="仿宋" w:hAnsi="仿宋" w:eastAsia="仿宋" w:cs="仿宋"/>
          <w:b w:val="0"/>
          <w:bCs w:val="0"/>
          <w:sz w:val="30"/>
          <w:szCs w:val="30"/>
        </w:rPr>
        <w:t>党政机关组织机构设置为：中国共产党六盘水 市水城区</w:t>
      </w:r>
      <w:r>
        <w:rPr>
          <w:rFonts w:hint="eastAsia" w:ascii="仿宋" w:hAnsi="仿宋" w:eastAsia="仿宋" w:cs="仿宋"/>
          <w:b w:val="0"/>
          <w:bCs w:val="0"/>
          <w:sz w:val="30"/>
          <w:szCs w:val="30"/>
          <w:lang w:eastAsia="zh-CN"/>
        </w:rPr>
        <w:t>阿戛镇</w:t>
      </w:r>
      <w:r>
        <w:rPr>
          <w:rFonts w:hint="eastAsia" w:ascii="仿宋" w:hAnsi="仿宋" w:eastAsia="仿宋" w:cs="仿宋"/>
          <w:b w:val="0"/>
          <w:bCs w:val="0"/>
          <w:sz w:val="30"/>
          <w:szCs w:val="30"/>
        </w:rPr>
        <w:t>委员会、六盘水市水城区</w:t>
      </w:r>
      <w:r>
        <w:rPr>
          <w:rFonts w:hint="eastAsia" w:ascii="仿宋" w:hAnsi="仿宋" w:eastAsia="仿宋" w:cs="仿宋"/>
          <w:b w:val="0"/>
          <w:bCs w:val="0"/>
          <w:sz w:val="30"/>
          <w:szCs w:val="30"/>
          <w:lang w:eastAsia="zh-CN"/>
        </w:rPr>
        <w:t>阿戛镇</w:t>
      </w:r>
      <w:r>
        <w:rPr>
          <w:rFonts w:hint="eastAsia" w:ascii="仿宋" w:hAnsi="仿宋" w:eastAsia="仿宋" w:cs="仿宋"/>
          <w:b w:val="0"/>
          <w:bCs w:val="0"/>
          <w:sz w:val="30"/>
          <w:szCs w:val="30"/>
        </w:rPr>
        <w:t>人民代表大会、六盘水市水城区</w:t>
      </w:r>
      <w:r>
        <w:rPr>
          <w:rFonts w:hint="eastAsia" w:ascii="仿宋" w:hAnsi="仿宋" w:eastAsia="仿宋" w:cs="仿宋"/>
          <w:b w:val="0"/>
          <w:bCs w:val="0"/>
          <w:sz w:val="30"/>
          <w:szCs w:val="30"/>
          <w:lang w:eastAsia="zh-CN"/>
        </w:rPr>
        <w:t>阿戛镇</w:t>
      </w:r>
      <w:r>
        <w:rPr>
          <w:rFonts w:hint="eastAsia" w:ascii="仿宋" w:hAnsi="仿宋" w:eastAsia="仿宋" w:cs="仿宋"/>
          <w:b w:val="0"/>
          <w:bCs w:val="0"/>
          <w:sz w:val="30"/>
          <w:szCs w:val="30"/>
        </w:rPr>
        <w:t>人民政府、中国共产党六盘水市水城区</w:t>
      </w:r>
      <w:r>
        <w:rPr>
          <w:rFonts w:hint="eastAsia" w:ascii="仿宋" w:hAnsi="仿宋" w:eastAsia="仿宋" w:cs="仿宋"/>
          <w:b w:val="0"/>
          <w:bCs w:val="0"/>
          <w:sz w:val="30"/>
          <w:szCs w:val="30"/>
          <w:lang w:eastAsia="zh-CN"/>
        </w:rPr>
        <w:t>阿戛镇</w:t>
      </w:r>
      <w:r>
        <w:rPr>
          <w:rFonts w:hint="eastAsia" w:ascii="仿宋" w:hAnsi="仿宋" w:eastAsia="仿宋" w:cs="仿宋"/>
          <w:b w:val="0"/>
          <w:bCs w:val="0"/>
          <w:sz w:val="30"/>
          <w:szCs w:val="30"/>
        </w:rPr>
        <w:t>纪律检查委员会。</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（二）</w:t>
      </w:r>
      <w:r>
        <w:rPr>
          <w:rFonts w:hint="eastAsia" w:ascii="仿宋" w:hAnsi="仿宋" w:eastAsia="仿宋" w:cs="仿宋"/>
          <w:b w:val="0"/>
          <w:bCs w:val="0"/>
          <w:sz w:val="30"/>
          <w:szCs w:val="30"/>
          <w:lang w:eastAsia="zh-CN"/>
        </w:rPr>
        <w:t>阿戛镇</w:t>
      </w:r>
      <w:r>
        <w:rPr>
          <w:rFonts w:hint="eastAsia" w:ascii="仿宋" w:hAnsi="仿宋" w:eastAsia="仿宋" w:cs="仿宋"/>
          <w:b w:val="0"/>
          <w:bCs w:val="0"/>
          <w:sz w:val="30"/>
          <w:szCs w:val="30"/>
        </w:rPr>
        <w:t>按有关规定设置人民武装部，按有关章程设置 工会、共青团、妇联等群团组织。</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二、主要职责</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（一）党委职责</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1.宣传贯彻执行党的路线、方针、政策和上级党委的决定、决议，研究提出本区域经济社会发展中重大问题的意见、建议和 决定；</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2.发挥领导核心作用，支持和保证本区域政权机关依照国家法律法规及章程行使职权，支持和保障居（村）民委员会开展自治活动，直接行使民主权利；</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3.领导本区域的经济建设、政治建设、文化建设、社会建设和社会主义新农村建设；</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4.抓好党的思想建设、组织建设、作风建设和勤政廉政建设；</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5.加强和改善对人大、政府的领导和协调，支持其依法行使职权；加强对工会、共青团、妇联、武装部等组织的领导，及时 研究讨论群团组织工作中的重大问题，支持其根据各自特点开展 活动，充分发挥作用；</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6.承办上级党委交办的其他事项。</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（二）人大职责</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1.在本行政区域内，保证宪法、法律、行政法规和上级人民代表大会及其常务委员会决议的遵守和执行；</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2.在职权范围内通过和发布决议；</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3.根据国家计划，决定本行政区域内的经济、文化事业和公共事业的建设计划；</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4.审查和批准本行政区域内的财政预算和预算执行情况的报告；</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5.决定本行政区域内的民政工作的实施计划；</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6.选举本级人大主席、副主席，镇长、副镇长；</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7.可以决定接受镇人大主席、副主席，镇长、副镇长向本级 人民代表大会提出辞职；</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8.听取和审查镇人民政府，人民代表大会主席团的工作报告； 审议上一年代表意见建议办理情况的报告；</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9.撤销镇人民政府不适当的决定和命令；</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10.保护各种经济组织的合法权益；保护全民、集体及公民私有合法财产；保障公民及少数民族的权利；</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11.依照法律规定的程序，罢免本级人大主席、副主席，镇长、 副镇长。</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（三）政府职责</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1.贯彻执行党和国家的路线、方针、政策、法律、法规和上级党委、政府及本级党委、人民代表大会的决定；</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2.执行本区域的经济和社会发展计划、预算，负责本区域农业、林业、水利、科技、教育、文化、卫生健康和计划生育、体育、民政、安全生产、村镇建设、劳动保障和社会稳定等社会管 理和公共服务；</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3.推进社会主义新农村建设，营造经济社会发展环境，保护国有资产、集体财产和各种经济组织及公民的合法权益；</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4.促进本行政区域内经济和社会发展，创造良好环境，努力提高本地区经济实力和可持续发展水平，提高人民群众的生活质 量和水平；</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5.加强</w:t>
      </w:r>
      <w:r>
        <w:rPr>
          <w:rFonts w:hint="eastAsia" w:ascii="仿宋" w:hAnsi="仿宋" w:eastAsia="仿宋" w:cs="仿宋"/>
          <w:b w:val="0"/>
          <w:bCs w:val="0"/>
          <w:sz w:val="30"/>
          <w:szCs w:val="30"/>
          <w:lang w:eastAsia="zh-CN"/>
        </w:rPr>
        <w:t>社会主义民主法治建设</w:t>
      </w:r>
      <w:r>
        <w:rPr>
          <w:rFonts w:hint="eastAsia" w:ascii="仿宋" w:hAnsi="仿宋" w:eastAsia="仿宋" w:cs="仿宋"/>
          <w:b w:val="0"/>
          <w:bCs w:val="0"/>
          <w:sz w:val="30"/>
          <w:szCs w:val="30"/>
        </w:rPr>
        <w:t>，积极开展社会主义精神文明建设，搞好本区域社会管理综合治理和司法行政工作，依法指导 居（村）民委员会开展各项工作；</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6.负责群众教育及信访工作；</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7.承办区人民政府交办的其他事项。</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（四）纪委职责</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1.维护党的章程和党规党纪，协助镇党委加强党风廉政建设，检查党的路线、方针、政策和决议的执行情况；</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2.协助镇党委推进全面从严治党、加强党风廉政建设和组织协调反腐败工作；</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3.经常对党员进行遵守纪律的教育，教育</w:t>
      </w:r>
      <w:r>
        <w:rPr>
          <w:rFonts w:hint="eastAsia" w:ascii="仿宋" w:hAnsi="仿宋" w:eastAsia="仿宋" w:cs="仿宋"/>
          <w:b w:val="0"/>
          <w:bCs w:val="0"/>
          <w:sz w:val="30"/>
          <w:szCs w:val="30"/>
          <w:lang w:eastAsia="zh-CN"/>
        </w:rPr>
        <w:t>党员干部</w:t>
      </w:r>
      <w:r>
        <w:rPr>
          <w:rFonts w:hint="eastAsia" w:ascii="仿宋" w:hAnsi="仿宋" w:eastAsia="仿宋" w:cs="仿宋"/>
          <w:b w:val="0"/>
          <w:bCs w:val="0"/>
          <w:sz w:val="30"/>
          <w:szCs w:val="30"/>
        </w:rPr>
        <w:t>自觉遵守党纪法规，自觉履行党员义务，自觉增强防腐能力，维护党员的 合法权益，作出关于维护党纪的决定；</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4.对党的组织和党员</w:t>
      </w:r>
      <w:r>
        <w:rPr>
          <w:rFonts w:hint="eastAsia" w:ascii="仿宋" w:hAnsi="仿宋" w:eastAsia="仿宋" w:cs="仿宋"/>
          <w:b w:val="0"/>
          <w:bCs w:val="0"/>
          <w:sz w:val="30"/>
          <w:szCs w:val="30"/>
          <w:lang w:eastAsia="zh-CN"/>
        </w:rPr>
        <w:t>领导干部</w:t>
      </w:r>
      <w:r>
        <w:rPr>
          <w:rFonts w:hint="eastAsia" w:ascii="仿宋" w:hAnsi="仿宋" w:eastAsia="仿宋" w:cs="仿宋"/>
          <w:b w:val="0"/>
          <w:bCs w:val="0"/>
          <w:sz w:val="30"/>
          <w:szCs w:val="30"/>
        </w:rPr>
        <w:t>履行职责、行使权力进行监督，受理处置党员群众检举举报，开展谈话提醒、约谈函询；</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5.抓好镇党委和</w:t>
      </w:r>
      <w:r>
        <w:rPr>
          <w:rFonts w:hint="eastAsia" w:ascii="仿宋" w:hAnsi="仿宋" w:eastAsia="仿宋" w:cs="仿宋"/>
          <w:b w:val="0"/>
          <w:bCs w:val="0"/>
          <w:sz w:val="30"/>
          <w:szCs w:val="30"/>
          <w:lang w:eastAsia="zh-CN"/>
        </w:rPr>
        <w:t>领导干部</w:t>
      </w:r>
      <w:r>
        <w:rPr>
          <w:rFonts w:hint="eastAsia" w:ascii="仿宋" w:hAnsi="仿宋" w:eastAsia="仿宋" w:cs="仿宋"/>
          <w:b w:val="0"/>
          <w:bCs w:val="0"/>
          <w:sz w:val="30"/>
          <w:szCs w:val="30"/>
        </w:rPr>
        <w:t>贯彻落实廉洁自律各项规定的监督；</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6.检查和处理党的组织和党员违反党的章程和其他党内法规的比较重要或复杂的案件，决定或取消对这些案件中的党员的 处分；</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7.受理党员的控告和申诉；</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8.进行问贵或提出责任追究的建议；</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9.向上级纪律检查委员会报告，完成上级纪委交办的其他工</w:t>
      </w:r>
    </w:p>
    <w:p>
      <w:pPr>
        <w:numPr>
          <w:ilvl w:val="0"/>
          <w:numId w:val="0"/>
        </w:numPr>
        <w:spacing w:line="56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作。</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三、党政办事机构设置和主要职责</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根据上述职能， 镇党委、政府综合设置</w:t>
      </w:r>
      <w:r>
        <w:rPr>
          <w:rFonts w:hint="eastAsia" w:ascii="仿宋" w:hAnsi="仿宋" w:eastAsia="仿宋" w:cs="仿宋"/>
          <w:b w:val="0"/>
          <w:bCs w:val="0"/>
          <w:sz w:val="30"/>
          <w:szCs w:val="30"/>
        </w:rPr>
        <w:tab/>
      </w:r>
      <w:r>
        <w:rPr>
          <w:rFonts w:hint="eastAsia" w:ascii="仿宋" w:hAnsi="仿宋" w:eastAsia="仿宋" w:cs="仿宋"/>
          <w:b w:val="0"/>
          <w:bCs w:val="0"/>
          <w:sz w:val="30"/>
          <w:szCs w:val="30"/>
        </w:rPr>
        <w:t>7 个办事机构：</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（一）党政办公室（法制办公室、全面小康社会建设领导小组办公室、＂三变”改革办公室）</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主要职责：负责党委、人大和政府交办的各项日常工作；承担纪检监察、组织人事、法制、全面小康社会建设、机构编制、 宣传、统战、政法、人民武装、文秘、档案、信息、机要保密、 统计、后勤、工青妇等各方面的综合协调、服务和督促检查工作；  拟定实施党建工作发展规划，负责党员干部教育管理工作；承担 党的组织建设、思想建设、作风建设和廉政建设；负责政协委员 的联络工作；为村（居）民出具和签署有关证明、申请、报告等 工作；负责”三变”改革工作的组织、协调、联络等相关工作。</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（二）社会事务办公室</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主要职责：承担对《村（居）民委员会组织法》的贯彻实施和村（居）民委员会的思想、组织和制度建设以及业务培训等工 作；负责民政优抚、救灾救济、留守儿童、民族宗教、老龄、残 联、居民最低生活保障工作；流浪、乞讨人员临时救助；指导、支持和帮助村（居）民委员会依法开展村（居）民自治活动。</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（三）卫生和计划生育办公室</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主要职责：负责卫生健康、计划生育法律法规和政策的宣传、</w:t>
      </w:r>
    </w:p>
    <w:p>
      <w:pPr>
        <w:numPr>
          <w:ilvl w:val="0"/>
          <w:numId w:val="0"/>
        </w:numPr>
        <w:spacing w:line="56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咨询工作；负责卫生监督、免疫规划、妇幼保健、爱国卫生、农 村卫生等公共卫生和流动人口计划生育管理工作；负责《生殖健 康服务证》、《流动人口婚育证明》等相关证件的发放、审核、申报等工作；负责指导镇卫生院开展工作；负责对村卫生计生员管 理、培训等工作。</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（四）经济发展办公室</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主要职责：负责经济发展的协调服务；制定企业和农业发展规划和计划；为企业提供咨询和信息服务；做好招商引资、对外 经济技术合作工作；承担农业、中小企业、林业、水利、第三产 业、安全生产监督、公有资产管理的协调和服务；支持和帮助村</w:t>
      </w:r>
    </w:p>
    <w:p>
      <w:pPr>
        <w:numPr>
          <w:ilvl w:val="0"/>
          <w:numId w:val="0"/>
        </w:numPr>
        <w:spacing w:line="56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（居）民委员会依法发展各种形式的合作经济和其他经济。</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（五）国土资源和规划建设环保办公室</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主要职责：负责制定新农村建设发展规划；负责镇村规划建 设、生态环境保护工作；负责镇容和环境卫生、园林绿化，市政 公用设施的管理；负责村镇环境综合治理工作，协同有关部门查 处违章建筑、污染环境、村镇道路障碍、占道经营的违法、违章、违规事件以及调解纠纷事件；协调国土资源开发、利用和保护工 作。</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（六）综合行政执法办公室（综合行政执法队）</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主要职责：依照现行法律、法规和规章赋予乡（镇）政府法定行政执法职责和部门委托执法的委托权限在本辖区内行使行政执法权，负责做好本辖区内有关行政执法的日常监督管理工作。</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（七）社会治安综合治理办公室（群众工作办公室）</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主要职责：组织领导和维护辖区内社会稳定工作；适时分析、</w:t>
      </w:r>
    </w:p>
    <w:p>
      <w:pPr>
        <w:numPr>
          <w:ilvl w:val="0"/>
          <w:numId w:val="0"/>
        </w:numPr>
        <w:spacing w:line="56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研究本辖区内的社会管理和群众、信访及禁毒宣传教育等工作， 及时向党委政府提出对策和措施，并认真组织落实；组织开展矛 盾纠纷排查、调处及化解等工作；组织和推动各有关部门参与社 会管理综合治理；做好反邪教、社区矫正、宗教势力、违法人员 的帮教转化等工作。</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镇人大、纪委（监察）、政法委、人民武装部、工会、共青团、妇联等组织机构桉有关规定和章程设置并挂牌，其具体事务 由党政办公室承担（政法委具体事务由社会管理综合治理办公室 承担）。</w:t>
      </w:r>
    </w:p>
    <w:p>
      <w:pPr>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机构情况，</w:t>
      </w:r>
      <w:r>
        <w:rPr>
          <w:rFonts w:hint="eastAsia" w:ascii="仿宋" w:hAnsi="仿宋" w:eastAsia="仿宋" w:cs="仿宋"/>
          <w:sz w:val="30"/>
          <w:szCs w:val="30"/>
          <w:lang w:eastAsia="zh-CN"/>
        </w:rPr>
        <w:t>阿戛镇</w:t>
      </w:r>
      <w:r>
        <w:rPr>
          <w:rFonts w:hint="eastAsia" w:ascii="仿宋" w:hAnsi="仿宋" w:eastAsia="仿宋" w:cs="仿宋"/>
          <w:sz w:val="30"/>
          <w:szCs w:val="30"/>
          <w:lang w:val="en-US" w:eastAsia="zh-CN"/>
        </w:rPr>
        <w:t>2021年年末独立核算机构数为1个</w:t>
      </w:r>
      <w:r>
        <w:rPr>
          <w:rFonts w:hint="eastAsia" w:ascii="仿宋" w:hAnsi="仿宋" w:eastAsia="仿宋" w:cs="仿宋"/>
          <w:sz w:val="30"/>
          <w:szCs w:val="30"/>
        </w:rPr>
        <w:t>。</w:t>
      </w:r>
    </w:p>
    <w:p>
      <w:pPr>
        <w:keepNext w:val="0"/>
        <w:keepLines w:val="0"/>
        <w:pageBreakBefore w:val="0"/>
        <w:kinsoku/>
        <w:wordWrap/>
        <w:overflowPunct/>
        <w:topLinePunct w:val="0"/>
        <w:bidi w:val="0"/>
        <w:adjustRightInd/>
        <w:snapToGrid w:val="0"/>
        <w:spacing w:line="360" w:lineRule="auto"/>
        <w:ind w:firstLine="600" w:firstLineChars="200"/>
        <w:textAlignment w:val="auto"/>
        <w:rPr>
          <w:rFonts w:hint="eastAsia" w:ascii="仿宋" w:hAnsi="仿宋" w:eastAsia="仿宋" w:cs="仿宋"/>
          <w:color w:val="FF0000"/>
          <w:sz w:val="30"/>
          <w:szCs w:val="30"/>
          <w:lang w:val="en-US" w:eastAsia="zh-CN"/>
        </w:rPr>
      </w:pPr>
      <w:r>
        <w:rPr>
          <w:rFonts w:hint="eastAsia" w:ascii="仿宋" w:hAnsi="仿宋" w:eastAsia="仿宋" w:cs="仿宋"/>
          <w:sz w:val="30"/>
          <w:szCs w:val="30"/>
        </w:rPr>
        <w:t>人员情况，</w:t>
      </w:r>
      <w:r>
        <w:rPr>
          <w:rFonts w:hint="eastAsia" w:ascii="仿宋" w:hAnsi="仿宋" w:eastAsia="仿宋" w:cs="仿宋"/>
          <w:color w:val="auto"/>
          <w:sz w:val="30"/>
          <w:szCs w:val="30"/>
          <w:lang w:val="en-US" w:eastAsia="zh-CN"/>
        </w:rPr>
        <w:t>我单位2021年实有行政编制人员59人，实有事业编制人员55人，共计114人，小组长143人。</w:t>
      </w:r>
    </w:p>
    <w:p>
      <w:pPr>
        <w:keepNext w:val="0"/>
        <w:keepLines w:val="0"/>
        <w:pageBreakBefore w:val="0"/>
        <w:widowControl/>
        <w:suppressLineNumbers w:val="0"/>
        <w:kinsoku/>
        <w:wordWrap/>
        <w:overflowPunct/>
        <w:topLinePunct w:val="0"/>
        <w:bidi w:val="0"/>
        <w:adjustRightInd/>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二</w:t>
      </w:r>
      <w:r>
        <w:rPr>
          <w:rFonts w:hint="eastAsia" w:ascii="仿宋" w:hAnsi="仿宋" w:eastAsia="仿宋" w:cs="仿宋"/>
          <w:sz w:val="30"/>
          <w:szCs w:val="30"/>
        </w:rPr>
        <w:t>）部门整体支出概况</w:t>
      </w:r>
    </w:p>
    <w:p>
      <w:pPr>
        <w:spacing w:line="560" w:lineRule="exact"/>
        <w:ind w:firstLine="640" w:firstLineChars="200"/>
        <w:rPr>
          <w:rFonts w:hint="eastAsia" w:ascii="仿宋_GB2312" w:hAnsi="仿宋_GB2312" w:cs="仿宋_GB2312"/>
        </w:rPr>
      </w:pPr>
      <w:r>
        <w:rPr>
          <w:rFonts w:hint="eastAsia" w:ascii="仿宋_GB2312" w:hAnsi="仿宋_GB2312" w:cs="仿宋_GB2312"/>
        </w:rPr>
        <w:t>部门整体支出预算数为</w:t>
      </w:r>
      <w:r>
        <w:rPr>
          <w:rFonts w:hint="eastAsia" w:ascii="仿宋_GB2312" w:hAnsi="仿宋_GB2312" w:cs="仿宋_GB2312"/>
          <w:lang w:val="en-US" w:eastAsia="zh-CN"/>
        </w:rPr>
        <w:t>2482.54</w:t>
      </w:r>
      <w:r>
        <w:rPr>
          <w:rFonts w:hint="eastAsia" w:ascii="仿宋_GB2312" w:hAnsi="仿宋_GB2312" w:cs="仿宋_GB2312"/>
        </w:rPr>
        <w:t>万元，</w:t>
      </w:r>
      <w:r>
        <w:rPr>
          <w:rFonts w:hint="eastAsia" w:ascii="仿宋_GB2312" w:hAnsi="仿宋_GB2312" w:cs="仿宋_GB2312"/>
          <w:lang w:val="en-US" w:eastAsia="zh-CN"/>
        </w:rPr>
        <w:t>资金到位</w:t>
      </w:r>
      <w:r>
        <w:rPr>
          <w:rFonts w:hint="eastAsia" w:ascii="仿宋_GB2312" w:hAnsi="仿宋_GB2312" w:cs="仿宋_GB2312"/>
        </w:rPr>
        <w:t>数为</w:t>
      </w:r>
      <w:r>
        <w:rPr>
          <w:rFonts w:hint="eastAsia" w:ascii="仿宋_GB2312" w:hAnsi="仿宋_GB2312" w:cs="仿宋_GB2312"/>
          <w:lang w:val="en-US" w:eastAsia="zh-CN"/>
        </w:rPr>
        <w:t>2054.99</w:t>
      </w:r>
      <w:r>
        <w:rPr>
          <w:rFonts w:hint="eastAsia" w:ascii="仿宋_GB2312" w:hAnsi="仿宋_GB2312" w:cs="仿宋_GB2312"/>
        </w:rPr>
        <w:t>万元，</w:t>
      </w:r>
      <w:r>
        <w:rPr>
          <w:rFonts w:hint="eastAsia" w:ascii="仿宋_GB2312" w:hAnsi="仿宋_GB2312" w:cs="仿宋_GB2312"/>
          <w:lang w:val="en-US" w:eastAsia="zh-CN"/>
        </w:rPr>
        <w:t>资金执行数2016.31</w:t>
      </w:r>
      <w:r>
        <w:rPr>
          <w:rFonts w:hint="eastAsia" w:ascii="仿宋_GB2312" w:hAnsi="仿宋_GB2312" w:cs="仿宋_GB2312"/>
        </w:rPr>
        <w:t>万元；项目支出</w:t>
      </w:r>
      <w:r>
        <w:rPr>
          <w:rFonts w:hint="eastAsia" w:ascii="仿宋_GB2312" w:hAnsi="仿宋_GB2312" w:cs="仿宋_GB2312"/>
          <w:lang w:val="en-US" w:eastAsia="zh-CN"/>
        </w:rPr>
        <w:t>0</w:t>
      </w:r>
      <w:r>
        <w:rPr>
          <w:rFonts w:hint="eastAsia" w:ascii="仿宋_GB2312" w:hAnsi="仿宋_GB2312" w:cs="仿宋_GB2312"/>
        </w:rPr>
        <w:t>万元。</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1.基本支出情况</w:t>
      </w:r>
    </w:p>
    <w:p>
      <w:pPr>
        <w:spacing w:line="560" w:lineRule="exact"/>
        <w:ind w:firstLine="640" w:firstLineChars="200"/>
        <w:rPr>
          <w:rFonts w:ascii="仿宋_GB2312" w:hAnsi="仿宋_GB2312" w:cs="仿宋_GB2312"/>
        </w:rPr>
      </w:pPr>
      <w:r>
        <w:rPr>
          <w:rFonts w:hint="eastAsia" w:ascii="仿宋_GB2312" w:hAnsi="仿宋_GB2312" w:cs="仿宋_GB2312"/>
        </w:rPr>
        <w:t>基本支出为</w:t>
      </w:r>
      <w:r>
        <w:rPr>
          <w:rFonts w:hint="eastAsia" w:ascii="仿宋_GB2312" w:hAnsi="仿宋_GB2312" w:cs="仿宋_GB2312"/>
          <w:lang w:val="en-US" w:eastAsia="zh-CN"/>
        </w:rPr>
        <w:t>2016.31</w:t>
      </w:r>
      <w:r>
        <w:rPr>
          <w:rFonts w:hint="eastAsia" w:ascii="仿宋_GB2312" w:hAnsi="仿宋_GB2312" w:cs="仿宋_GB2312"/>
        </w:rPr>
        <w:t>万元。其中人员支出</w:t>
      </w:r>
      <w:r>
        <w:rPr>
          <w:rFonts w:hint="eastAsia" w:ascii="仿宋_GB2312" w:hAnsi="仿宋_GB2312" w:cs="仿宋_GB2312"/>
          <w:lang w:val="en-US" w:eastAsia="zh-CN"/>
        </w:rPr>
        <w:t>1658.82</w:t>
      </w:r>
      <w:r>
        <w:rPr>
          <w:rFonts w:hint="eastAsia" w:ascii="仿宋_GB2312" w:hAnsi="仿宋_GB2312" w:cs="仿宋_GB2312"/>
        </w:rPr>
        <w:t>万元，其他商品服务支出和对个人和家庭的补助</w:t>
      </w:r>
      <w:r>
        <w:rPr>
          <w:rFonts w:hint="eastAsia" w:ascii="仿宋_GB2312" w:hAnsi="仿宋_GB2312" w:cs="仿宋_GB2312"/>
          <w:lang w:val="en-US" w:eastAsia="zh-CN"/>
        </w:rPr>
        <w:t>357.49</w:t>
      </w:r>
      <w:r>
        <w:rPr>
          <w:rFonts w:hint="eastAsia" w:ascii="仿宋_GB2312" w:hAnsi="仿宋_GB2312" w:cs="仿宋_GB2312"/>
        </w:rPr>
        <w:t xml:space="preserve">万元。 </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2.项目支出情况</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项目支出</w:t>
      </w:r>
      <w:r>
        <w:rPr>
          <w:rFonts w:hint="eastAsia" w:ascii="仿宋" w:hAnsi="仿宋" w:eastAsia="仿宋" w:cs="仿宋"/>
          <w:sz w:val="30"/>
          <w:szCs w:val="30"/>
          <w:lang w:val="en-US" w:eastAsia="zh-CN"/>
        </w:rPr>
        <w:t>0</w:t>
      </w:r>
      <w:r>
        <w:rPr>
          <w:rFonts w:hint="eastAsia" w:ascii="仿宋" w:hAnsi="仿宋" w:eastAsia="仿宋" w:cs="仿宋"/>
          <w:sz w:val="30"/>
          <w:szCs w:val="30"/>
        </w:rPr>
        <w:t>万元。</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eastAsia="zh-CN"/>
        </w:rPr>
        <w:t>（三）</w:t>
      </w:r>
      <w:r>
        <w:rPr>
          <w:rFonts w:hint="eastAsia" w:ascii="仿宋" w:hAnsi="仿宋" w:eastAsia="仿宋" w:cs="仿宋"/>
          <w:b w:val="0"/>
          <w:bCs/>
          <w:sz w:val="30"/>
          <w:szCs w:val="30"/>
        </w:rPr>
        <w:t>主要职能产出情况：</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主要产出的表现形式</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本</w:t>
      </w:r>
      <w:r>
        <w:rPr>
          <w:rFonts w:hint="eastAsia" w:ascii="仿宋" w:hAnsi="仿宋" w:eastAsia="仿宋" w:cs="仿宋"/>
          <w:b w:val="0"/>
          <w:bCs/>
          <w:sz w:val="30"/>
          <w:szCs w:val="30"/>
          <w:lang w:val="en-US" w:eastAsia="zh-CN"/>
        </w:rPr>
        <w:t>镇</w:t>
      </w:r>
      <w:r>
        <w:rPr>
          <w:rFonts w:hint="eastAsia" w:ascii="仿宋" w:hAnsi="仿宋" w:eastAsia="仿宋" w:cs="仿宋"/>
          <w:b w:val="0"/>
          <w:bCs/>
          <w:sz w:val="30"/>
          <w:szCs w:val="30"/>
        </w:rPr>
        <w:t>及下辖</w:t>
      </w:r>
      <w:r>
        <w:rPr>
          <w:rFonts w:hint="eastAsia" w:ascii="仿宋" w:hAnsi="仿宋" w:eastAsia="仿宋" w:cs="仿宋"/>
          <w:b w:val="0"/>
          <w:bCs/>
          <w:sz w:val="30"/>
          <w:szCs w:val="30"/>
          <w:lang w:eastAsia="zh-CN"/>
        </w:rPr>
        <w:t>区</w:t>
      </w:r>
      <w:r>
        <w:rPr>
          <w:rFonts w:hint="eastAsia" w:ascii="仿宋" w:hAnsi="仿宋" w:eastAsia="仿宋" w:cs="仿宋"/>
          <w:b w:val="0"/>
          <w:bCs/>
          <w:sz w:val="30"/>
          <w:szCs w:val="30"/>
          <w:lang w:val="en-US" w:eastAsia="zh-CN"/>
        </w:rPr>
        <w:t>1个</w:t>
      </w:r>
      <w:r>
        <w:rPr>
          <w:rFonts w:hint="eastAsia" w:ascii="仿宋" w:hAnsi="仿宋" w:eastAsia="仿宋" w:cs="仿宋"/>
          <w:b w:val="0"/>
          <w:bCs/>
          <w:sz w:val="30"/>
          <w:szCs w:val="30"/>
        </w:rPr>
        <w:t>社区</w:t>
      </w:r>
      <w:r>
        <w:rPr>
          <w:rFonts w:hint="eastAsia" w:ascii="仿宋" w:hAnsi="仿宋" w:eastAsia="仿宋" w:cs="仿宋"/>
          <w:b w:val="0"/>
          <w:bCs/>
          <w:sz w:val="30"/>
          <w:szCs w:val="30"/>
          <w:lang w:eastAsia="zh-CN"/>
        </w:rPr>
        <w:t>和</w:t>
      </w:r>
      <w:r>
        <w:rPr>
          <w:rFonts w:hint="eastAsia" w:ascii="仿宋" w:hAnsi="仿宋" w:eastAsia="仿宋" w:cs="仿宋"/>
          <w:b w:val="0"/>
          <w:bCs/>
          <w:sz w:val="30"/>
          <w:szCs w:val="30"/>
          <w:lang w:val="en-US" w:eastAsia="zh-CN"/>
        </w:rPr>
        <w:t>10</w:t>
      </w:r>
      <w:r>
        <w:rPr>
          <w:rFonts w:hint="eastAsia" w:ascii="仿宋" w:hAnsi="仿宋" w:eastAsia="仿宋" w:cs="仿宋"/>
          <w:b w:val="0"/>
          <w:bCs/>
          <w:sz w:val="30"/>
          <w:szCs w:val="30"/>
          <w:lang w:eastAsia="zh-CN"/>
        </w:rPr>
        <w:t>个村</w:t>
      </w:r>
      <w:r>
        <w:rPr>
          <w:rFonts w:hint="eastAsia" w:ascii="仿宋" w:hAnsi="仿宋" w:eastAsia="仿宋" w:cs="仿宋"/>
          <w:b w:val="0"/>
          <w:bCs/>
          <w:sz w:val="30"/>
          <w:szCs w:val="30"/>
        </w:rPr>
        <w:t>全年正常运转，在规定时限内完成本年度各项工作任务，有效衔接乡村振兴，在确保经济可持续发展的情况下，保持水土、美化环境。极大提高人民群众满意度以及服务对象满意度。</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主要产出的相关受益群体</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辖区内群众</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对相关受益群体的影响等</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有效衔接乡村振兴，在确保经济可持续发展的情况下，保持水土、美化环境。极大提高人民群众满意度以及服务对象满意度。</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二、部门绩效目标设置及决策情况</w:t>
      </w:r>
    </w:p>
    <w:p>
      <w:pPr>
        <w:pStyle w:val="7"/>
        <w:wordWrap/>
        <w:adjustRightInd/>
        <w:spacing w:before="0" w:line="40" w:lineRule="atLeast"/>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b w:val="0"/>
          <w:bCs/>
          <w:sz w:val="30"/>
          <w:szCs w:val="30"/>
        </w:rPr>
        <w:t>（一）部门绩效目标和绩效指标设定情况：</w:t>
      </w:r>
      <w:r>
        <w:rPr>
          <w:rFonts w:hint="eastAsia" w:ascii="仿宋" w:hAnsi="仿宋" w:eastAsia="仿宋" w:cs="仿宋"/>
          <w:sz w:val="30"/>
          <w:szCs w:val="30"/>
          <w:lang w:eastAsia="zh-CN"/>
        </w:rPr>
        <w:t>根据评价指标，客观公正地揭示财政资金的使用效益和政府职能的实现程度，有利于单位找准自身失控环节，明确自控重点，建立健全单位内部控制制度。对于预算管理、资金拨付与费用支出管理、报销审批程序以及对错误核算与错误支出的纠正等等经济活动等方面，确定单位自控的重点和目标，设立合理的组织结构，确认相关的管理职能和关系，为单位各股室划分责任权限，明确建立授权和分配责任的方法，因事设人，责任到位等，以增加单位的控制意识。根据单位实际情况，逐步建立风险监控、评价和预警系统。通过一系列指标的横向和纵向数据比较，对财务运作中潜在风险预警预报，提出控制措施，将可能萌发的财务风险予以化解。</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（二）部门决策情况：</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1.主要决策内容，包括年度工作计划和区委区政府安排的重点工作；</w:t>
      </w:r>
    </w:p>
    <w:p>
      <w:pPr>
        <w:widowControl/>
        <w:wordWrap/>
        <w:adjustRightInd/>
        <w:spacing w:line="40" w:lineRule="atLeast"/>
        <w:ind w:firstLine="600" w:firstLineChars="200"/>
        <w:textAlignment w:val="auto"/>
        <w:outlineLvl w:val="9"/>
        <w:rPr>
          <w:rFonts w:hint="eastAsia" w:ascii="仿宋" w:hAnsi="仿宋" w:eastAsia="仿宋" w:cs="仿宋"/>
          <w:color w:val="000000"/>
          <w:sz w:val="30"/>
          <w:szCs w:val="30"/>
          <w:lang w:eastAsia="zh-CN"/>
        </w:rPr>
      </w:pPr>
      <w:r>
        <w:rPr>
          <w:rFonts w:hint="eastAsia" w:ascii="仿宋" w:hAnsi="仿宋" w:eastAsia="仿宋" w:cs="仿宋"/>
          <w:b w:val="0"/>
          <w:bCs/>
          <w:sz w:val="30"/>
          <w:szCs w:val="30"/>
        </w:rPr>
        <w:t>2.决策依据，</w:t>
      </w:r>
      <w:r>
        <w:rPr>
          <w:rFonts w:hint="eastAsia" w:ascii="仿宋" w:hAnsi="仿宋" w:eastAsia="仿宋" w:cs="仿宋"/>
          <w:color w:val="000000"/>
          <w:sz w:val="30"/>
          <w:szCs w:val="30"/>
        </w:rPr>
        <w:t>从整体情况来看，我单位在执行支出绩效方面，严格按照规定执行，涉及“三重一大”事项必须经</w:t>
      </w:r>
      <w:r>
        <w:rPr>
          <w:rFonts w:hint="eastAsia" w:ascii="仿宋" w:hAnsi="仿宋" w:eastAsia="仿宋" w:cs="仿宋"/>
          <w:color w:val="000000"/>
          <w:sz w:val="30"/>
          <w:szCs w:val="30"/>
          <w:lang w:eastAsia="zh-CN"/>
        </w:rPr>
        <w:t>街道办</w:t>
      </w:r>
      <w:r>
        <w:rPr>
          <w:rFonts w:hint="eastAsia" w:ascii="仿宋" w:hAnsi="仿宋" w:eastAsia="仿宋" w:cs="仿宋"/>
          <w:color w:val="000000"/>
          <w:sz w:val="30"/>
          <w:szCs w:val="30"/>
        </w:rPr>
        <w:t>党组会讨论决定。使财政资金发挥最大使用效益。根据目前的完成情况，已全部完成预期绩效目标</w:t>
      </w:r>
      <w:r>
        <w:rPr>
          <w:rFonts w:hint="eastAsia" w:ascii="仿宋" w:hAnsi="仿宋" w:eastAsia="仿宋" w:cs="仿宋"/>
          <w:color w:val="000000"/>
          <w:sz w:val="30"/>
          <w:szCs w:val="30"/>
          <w:lang w:eastAsia="zh-CN"/>
        </w:rPr>
        <w:t>。</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三、部门预算、预算执行情况</w:t>
      </w:r>
    </w:p>
    <w:p>
      <w:pPr>
        <w:spacing w:line="560" w:lineRule="exact"/>
        <w:ind w:firstLine="600" w:firstLineChars="200"/>
        <w:rPr>
          <w:rFonts w:ascii="仿宋_GB2312" w:hAnsi="仿宋_GB2312" w:cs="仿宋_GB2312"/>
        </w:rPr>
      </w:pPr>
      <w:r>
        <w:rPr>
          <w:rFonts w:hint="eastAsia" w:ascii="仿宋" w:hAnsi="仿宋" w:eastAsia="仿宋" w:cs="仿宋"/>
          <w:b w:val="0"/>
          <w:bCs/>
          <w:sz w:val="30"/>
          <w:szCs w:val="30"/>
        </w:rPr>
        <w:t>(一）部门预算编制情况：</w:t>
      </w:r>
      <w:r>
        <w:rPr>
          <w:rFonts w:hint="eastAsia" w:ascii="仿宋_GB2312" w:hAnsi="仿宋_GB2312" w:cs="仿宋_GB2312"/>
        </w:rPr>
        <w:t>2021年基本支出年初预算支出</w:t>
      </w:r>
      <w:r>
        <w:rPr>
          <w:rFonts w:hint="eastAsia" w:ascii="仿宋_GB2312" w:hAnsi="仿宋_GB2312" w:cs="仿宋_GB2312"/>
          <w:lang w:val="en-US" w:eastAsia="zh-CN"/>
        </w:rPr>
        <w:t>2482.54</w:t>
      </w:r>
      <w:r>
        <w:rPr>
          <w:rFonts w:hint="eastAsia" w:ascii="仿宋_GB2312" w:hAnsi="仿宋_GB2312" w:cs="仿宋_GB2312"/>
        </w:rPr>
        <w:t>万元。</w:t>
      </w:r>
    </w:p>
    <w:p>
      <w:pPr>
        <w:snapToGrid w:val="0"/>
        <w:spacing w:line="520" w:lineRule="exact"/>
        <w:rPr>
          <w:rFonts w:hint="eastAsia" w:ascii="仿宋_GB2312" w:hAnsi="仿宋" w:eastAsia="仿宋_GB2312"/>
          <w:sz w:val="30"/>
          <w:szCs w:val="30"/>
          <w:lang w:eastAsia="zh-CN"/>
        </w:rPr>
      </w:pPr>
      <w:r>
        <w:rPr>
          <w:rFonts w:hint="eastAsia" w:ascii="仿宋" w:hAnsi="仿宋" w:eastAsia="仿宋" w:cs="仿宋"/>
          <w:b w:val="0"/>
          <w:bCs/>
          <w:sz w:val="30"/>
          <w:szCs w:val="30"/>
        </w:rPr>
        <w:t>（二）部门预算执行情况：</w:t>
      </w:r>
      <w:r>
        <w:rPr>
          <w:rFonts w:hint="eastAsia" w:ascii="仿宋_GB2312" w:hAnsi="仿宋"/>
          <w:sz w:val="30"/>
          <w:szCs w:val="30"/>
          <w:lang w:eastAsia="zh-CN"/>
        </w:rPr>
        <w:t>阿戛镇</w:t>
      </w:r>
      <w:r>
        <w:rPr>
          <w:rFonts w:hint="eastAsia" w:ascii="仿宋_GB2312" w:hAnsi="仿宋" w:eastAsia="仿宋_GB2312"/>
          <w:sz w:val="30"/>
          <w:szCs w:val="30"/>
        </w:rPr>
        <w:t>在</w:t>
      </w:r>
      <w:r>
        <w:rPr>
          <w:rFonts w:hint="eastAsia" w:ascii="仿宋_GB2312" w:hAnsi="仿宋" w:eastAsia="仿宋_GB2312"/>
          <w:sz w:val="30"/>
          <w:szCs w:val="30"/>
          <w:lang w:eastAsia="zh-CN"/>
        </w:rPr>
        <w:t>202</w:t>
      </w:r>
      <w:r>
        <w:rPr>
          <w:rFonts w:hint="eastAsia" w:ascii="仿宋_GB2312" w:hAnsi="仿宋" w:eastAsia="仿宋_GB2312"/>
          <w:sz w:val="30"/>
          <w:szCs w:val="30"/>
          <w:lang w:val="en-US" w:eastAsia="zh-CN"/>
        </w:rPr>
        <w:t>1</w:t>
      </w:r>
      <w:r>
        <w:rPr>
          <w:rFonts w:hint="eastAsia" w:ascii="仿宋_GB2312" w:hAnsi="仿宋" w:eastAsia="仿宋_GB2312"/>
          <w:sz w:val="30"/>
          <w:szCs w:val="30"/>
        </w:rPr>
        <w:t>年</w:t>
      </w:r>
      <w:r>
        <w:rPr>
          <w:rFonts w:hint="eastAsia" w:ascii="仿宋_GB2312" w:hAnsi="仿宋" w:eastAsia="仿宋_GB2312"/>
          <w:sz w:val="30"/>
          <w:szCs w:val="30"/>
          <w:lang w:eastAsia="zh-CN"/>
        </w:rPr>
        <w:t>决算数</w:t>
      </w:r>
      <w:r>
        <w:rPr>
          <w:rFonts w:hint="eastAsia" w:ascii="仿宋_GB2312" w:hAnsi="仿宋_GB2312" w:cs="仿宋_GB2312"/>
          <w:lang w:val="en-US" w:eastAsia="zh-CN"/>
        </w:rPr>
        <w:t>2054.99</w:t>
      </w:r>
      <w:r>
        <w:rPr>
          <w:rFonts w:hint="eastAsia" w:ascii="仿宋_GB2312" w:hAnsi="仿宋_GB2312" w:cs="仿宋_GB2312"/>
        </w:rPr>
        <w:t>万</w:t>
      </w:r>
      <w:r>
        <w:rPr>
          <w:rFonts w:hint="eastAsia" w:ascii="仿宋_GB2312" w:hAnsi="仿宋" w:eastAsia="仿宋_GB2312"/>
          <w:sz w:val="30"/>
          <w:szCs w:val="30"/>
        </w:rPr>
        <w:t>元，</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四、部门管理情况</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1.阐述预算管理的方式、预决算公开、资金使用管理和内部管理制度建设及执行情况等；</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eastAsia="zh-CN"/>
        </w:rPr>
        <w:t>阿戛镇</w:t>
      </w:r>
      <w:r>
        <w:rPr>
          <w:rFonts w:hint="eastAsia" w:ascii="仿宋" w:hAnsi="仿宋" w:eastAsia="仿宋" w:cs="仿宋"/>
          <w:b w:val="0"/>
          <w:bCs/>
          <w:sz w:val="30"/>
          <w:szCs w:val="30"/>
        </w:rPr>
        <w:t>本年按照要求完成2021年预决算公开，资金使用管理制度建设</w:t>
      </w:r>
      <w:r>
        <w:rPr>
          <w:rFonts w:hint="eastAsia" w:ascii="仿宋" w:hAnsi="仿宋" w:eastAsia="仿宋" w:cs="仿宋"/>
          <w:b w:val="0"/>
          <w:bCs/>
          <w:sz w:val="30"/>
          <w:szCs w:val="30"/>
          <w:lang w:eastAsia="zh-CN"/>
        </w:rPr>
        <w:t>，内部管理制度已建立了《</w:t>
      </w:r>
      <w:r>
        <w:rPr>
          <w:rFonts w:hint="eastAsia" w:ascii="仿宋" w:hAnsi="仿宋" w:eastAsia="仿宋" w:cs="仿宋"/>
          <w:b w:val="0"/>
          <w:bCs w:val="0"/>
          <w:kern w:val="0"/>
          <w:sz w:val="30"/>
          <w:szCs w:val="30"/>
        </w:rPr>
        <w:t>财务收支管理制度</w:t>
      </w:r>
      <w:r>
        <w:rPr>
          <w:rFonts w:hint="eastAsia" w:ascii="仿宋" w:hAnsi="仿宋" w:eastAsia="仿宋" w:cs="仿宋"/>
          <w:b w:val="0"/>
          <w:bCs/>
          <w:sz w:val="30"/>
          <w:szCs w:val="30"/>
          <w:lang w:eastAsia="zh-CN"/>
        </w:rPr>
        <w:t>》《</w:t>
      </w:r>
      <w:r>
        <w:rPr>
          <w:rFonts w:hint="eastAsia" w:ascii="仿宋" w:hAnsi="仿宋" w:eastAsia="仿宋" w:cs="仿宋"/>
          <w:b w:val="0"/>
          <w:bCs w:val="0"/>
          <w:kern w:val="0"/>
          <w:sz w:val="30"/>
          <w:szCs w:val="30"/>
        </w:rPr>
        <w:t>档案管理制度</w:t>
      </w:r>
      <w:r>
        <w:rPr>
          <w:rFonts w:hint="eastAsia" w:ascii="仿宋" w:hAnsi="仿宋" w:eastAsia="仿宋" w:cs="仿宋"/>
          <w:b w:val="0"/>
          <w:bCs/>
          <w:sz w:val="30"/>
          <w:szCs w:val="30"/>
          <w:lang w:eastAsia="zh-CN"/>
        </w:rPr>
        <w:t>》《</w:t>
      </w:r>
      <w:r>
        <w:rPr>
          <w:rFonts w:hint="eastAsia" w:ascii="仿宋" w:hAnsi="仿宋" w:eastAsia="仿宋" w:cs="仿宋"/>
          <w:b w:val="0"/>
          <w:bCs w:val="0"/>
          <w:kern w:val="0"/>
          <w:sz w:val="30"/>
          <w:szCs w:val="30"/>
        </w:rPr>
        <w:t>固定资产管理制度</w:t>
      </w:r>
      <w:r>
        <w:rPr>
          <w:rFonts w:hint="eastAsia" w:ascii="仿宋" w:hAnsi="仿宋" w:eastAsia="仿宋" w:cs="仿宋"/>
          <w:b w:val="0"/>
          <w:bCs/>
          <w:sz w:val="30"/>
          <w:szCs w:val="30"/>
          <w:lang w:eastAsia="zh-CN"/>
        </w:rPr>
        <w:t>》《</w:t>
      </w:r>
      <w:r>
        <w:rPr>
          <w:rFonts w:hint="eastAsia" w:ascii="仿宋" w:hAnsi="仿宋" w:eastAsia="仿宋" w:cs="仿宋"/>
          <w:b w:val="0"/>
          <w:bCs w:val="0"/>
          <w:kern w:val="0"/>
          <w:sz w:val="30"/>
          <w:szCs w:val="30"/>
        </w:rPr>
        <w:t>票据管理制度</w:t>
      </w:r>
      <w:r>
        <w:rPr>
          <w:rFonts w:hint="eastAsia" w:ascii="仿宋" w:hAnsi="仿宋" w:eastAsia="仿宋" w:cs="仿宋"/>
          <w:b w:val="0"/>
          <w:bCs/>
          <w:sz w:val="30"/>
          <w:szCs w:val="30"/>
          <w:lang w:eastAsia="zh-CN"/>
        </w:rPr>
        <w:t>》《</w:t>
      </w:r>
      <w:r>
        <w:rPr>
          <w:rFonts w:hint="eastAsia" w:ascii="仿宋" w:hAnsi="仿宋" w:eastAsia="仿宋" w:cs="仿宋"/>
          <w:b w:val="0"/>
          <w:bCs w:val="0"/>
          <w:kern w:val="0"/>
          <w:sz w:val="30"/>
          <w:szCs w:val="30"/>
        </w:rPr>
        <w:t>岗位交流制度</w:t>
      </w:r>
      <w:r>
        <w:rPr>
          <w:rFonts w:hint="eastAsia" w:ascii="仿宋" w:hAnsi="仿宋" w:eastAsia="仿宋" w:cs="仿宋"/>
          <w:b w:val="0"/>
          <w:bCs/>
          <w:sz w:val="30"/>
          <w:szCs w:val="30"/>
          <w:lang w:eastAsia="zh-CN"/>
        </w:rPr>
        <w:t>》《</w:t>
      </w:r>
      <w:r>
        <w:rPr>
          <w:rFonts w:hint="eastAsia" w:ascii="仿宋" w:hAnsi="仿宋" w:eastAsia="仿宋" w:cs="仿宋"/>
          <w:b w:val="0"/>
          <w:bCs w:val="0"/>
          <w:kern w:val="0"/>
          <w:sz w:val="30"/>
          <w:szCs w:val="30"/>
        </w:rPr>
        <w:t>关于进一步规范村级财务</w:t>
      </w:r>
      <w:r>
        <w:rPr>
          <w:rFonts w:hint="eastAsia" w:ascii="仿宋" w:hAnsi="仿宋" w:eastAsia="仿宋" w:cs="仿宋"/>
          <w:b w:val="0"/>
          <w:bCs w:val="0"/>
          <w:kern w:val="0"/>
          <w:sz w:val="30"/>
          <w:szCs w:val="30"/>
          <w:lang w:eastAsia="zh-CN"/>
        </w:rPr>
        <w:t>制度</w:t>
      </w:r>
      <w:r>
        <w:rPr>
          <w:rFonts w:hint="eastAsia" w:ascii="仿宋" w:hAnsi="仿宋" w:eastAsia="仿宋" w:cs="仿宋"/>
          <w:b w:val="0"/>
          <w:bCs/>
          <w:sz w:val="30"/>
          <w:szCs w:val="30"/>
          <w:lang w:eastAsia="zh-CN"/>
        </w:rPr>
        <w:t>》《</w:t>
      </w:r>
      <w:r>
        <w:rPr>
          <w:rFonts w:hint="eastAsia" w:ascii="仿宋" w:hAnsi="仿宋" w:eastAsia="仿宋" w:cs="仿宋"/>
          <w:b w:val="0"/>
          <w:bCs w:val="0"/>
          <w:kern w:val="0"/>
          <w:sz w:val="30"/>
          <w:szCs w:val="30"/>
          <w:lang w:eastAsia="zh-CN"/>
        </w:rPr>
        <w:t>政府采购</w:t>
      </w:r>
      <w:r>
        <w:rPr>
          <w:rFonts w:hint="eastAsia" w:ascii="仿宋" w:hAnsi="仿宋" w:eastAsia="仿宋" w:cs="仿宋"/>
          <w:b w:val="0"/>
          <w:bCs w:val="0"/>
          <w:kern w:val="0"/>
          <w:sz w:val="30"/>
          <w:szCs w:val="30"/>
        </w:rPr>
        <w:t>制度</w:t>
      </w:r>
      <w:r>
        <w:rPr>
          <w:rFonts w:hint="eastAsia" w:ascii="仿宋" w:hAnsi="仿宋" w:eastAsia="仿宋" w:cs="仿宋"/>
          <w:b w:val="0"/>
          <w:bCs/>
          <w:sz w:val="30"/>
          <w:szCs w:val="30"/>
          <w:lang w:eastAsia="zh-CN"/>
        </w:rPr>
        <w:t>》等制度，</w:t>
      </w:r>
      <w:r>
        <w:rPr>
          <w:rFonts w:hint="eastAsia" w:ascii="仿宋" w:hAnsi="仿宋" w:eastAsia="仿宋" w:cs="仿宋"/>
          <w:b w:val="0"/>
          <w:bCs/>
          <w:sz w:val="30"/>
          <w:szCs w:val="30"/>
        </w:rPr>
        <w:t>资金按规定使用。</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2、</w:t>
      </w:r>
      <w:r>
        <w:rPr>
          <w:rFonts w:hint="eastAsia" w:ascii="仿宋" w:hAnsi="仿宋" w:eastAsia="仿宋" w:cs="仿宋"/>
          <w:b w:val="0"/>
          <w:bCs/>
          <w:sz w:val="30"/>
          <w:szCs w:val="30"/>
        </w:rPr>
        <w:t>项目管理情况：</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eastAsia="zh-CN"/>
        </w:rPr>
        <w:t>阿戛镇</w:t>
      </w:r>
      <w:r>
        <w:rPr>
          <w:rFonts w:hint="eastAsia" w:ascii="仿宋" w:hAnsi="仿宋" w:eastAsia="仿宋" w:cs="仿宋"/>
          <w:b w:val="0"/>
          <w:bCs/>
          <w:sz w:val="30"/>
          <w:szCs w:val="30"/>
        </w:rPr>
        <w:t>2021年预算内资金</w:t>
      </w:r>
      <w:r>
        <w:rPr>
          <w:rFonts w:hint="eastAsia" w:ascii="仿宋" w:hAnsi="仿宋" w:eastAsia="仿宋" w:cs="仿宋"/>
          <w:b w:val="0"/>
          <w:bCs/>
          <w:sz w:val="30"/>
          <w:szCs w:val="30"/>
          <w:lang w:val="en-US" w:eastAsia="zh-CN"/>
        </w:rPr>
        <w:t>仅有示范乡镇财政创建活动项目</w:t>
      </w:r>
      <w:r>
        <w:rPr>
          <w:rFonts w:hint="eastAsia" w:ascii="仿宋" w:hAnsi="仿宋" w:eastAsia="仿宋" w:cs="仿宋"/>
          <w:b w:val="0"/>
          <w:bCs/>
          <w:sz w:val="30"/>
          <w:szCs w:val="30"/>
        </w:rPr>
        <w:t>。</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3、</w:t>
      </w:r>
      <w:r>
        <w:rPr>
          <w:rFonts w:hint="eastAsia" w:ascii="仿宋" w:hAnsi="仿宋" w:eastAsia="仿宋" w:cs="仿宋"/>
          <w:b w:val="0"/>
          <w:bCs/>
          <w:sz w:val="30"/>
          <w:szCs w:val="30"/>
        </w:rPr>
        <w:t>部门绩效管理情况：</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eastAsia="zh-CN"/>
        </w:rPr>
        <w:t>阿戛镇</w:t>
      </w:r>
      <w:r>
        <w:rPr>
          <w:rFonts w:hint="eastAsia" w:ascii="仿宋" w:hAnsi="仿宋" w:eastAsia="仿宋" w:cs="仿宋"/>
          <w:b w:val="0"/>
          <w:bCs/>
          <w:sz w:val="30"/>
          <w:szCs w:val="30"/>
        </w:rPr>
        <w:t>2021年绩效管理按规定执行。</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4、</w:t>
      </w:r>
      <w:r>
        <w:rPr>
          <w:rFonts w:hint="eastAsia" w:ascii="仿宋" w:hAnsi="仿宋" w:eastAsia="仿宋" w:cs="仿宋"/>
          <w:b w:val="0"/>
          <w:bCs/>
          <w:sz w:val="30"/>
          <w:szCs w:val="30"/>
        </w:rPr>
        <w:t>部门资产管理情况：</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lang w:eastAsia="zh-CN"/>
        </w:rPr>
        <w:t>阿戛镇</w:t>
      </w:r>
      <w:r>
        <w:rPr>
          <w:rFonts w:hint="eastAsia" w:ascii="仿宋" w:hAnsi="仿宋" w:eastAsia="仿宋" w:cs="仿宋"/>
          <w:b w:val="0"/>
          <w:bCs/>
          <w:sz w:val="30"/>
          <w:szCs w:val="30"/>
        </w:rPr>
        <w:t>2021年部门资产管理已按规定录入资产管理系统，按规定计提折旧、贴标签。</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五、部门绩效实现情况</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（一）部门产出目标完成情况：</w:t>
      </w:r>
    </w:p>
    <w:p>
      <w:pPr>
        <w:spacing w:before="0" w:after="0" w:line="300" w:lineRule="auto"/>
        <w:ind w:firstLine="900" w:firstLineChars="3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eastAsia="zh-CN"/>
        </w:rPr>
        <w:t>阿戛镇</w:t>
      </w:r>
      <w:r>
        <w:rPr>
          <w:rFonts w:hint="eastAsia" w:ascii="仿宋" w:hAnsi="仿宋" w:eastAsia="仿宋" w:cs="仿宋"/>
          <w:b w:val="0"/>
          <w:bCs/>
          <w:sz w:val="30"/>
          <w:szCs w:val="30"/>
        </w:rPr>
        <w:t>2021年收入完成率为</w:t>
      </w:r>
      <w:r>
        <w:rPr>
          <w:rFonts w:hint="eastAsia" w:ascii="仿宋" w:hAnsi="仿宋" w:eastAsia="仿宋" w:cs="仿宋"/>
          <w:b w:val="0"/>
          <w:bCs/>
          <w:sz w:val="30"/>
          <w:szCs w:val="30"/>
          <w:lang w:val="en-US" w:eastAsia="zh-CN"/>
        </w:rPr>
        <w:t>82.78</w:t>
      </w:r>
      <w:r>
        <w:rPr>
          <w:rFonts w:hint="eastAsia" w:ascii="仿宋" w:hAnsi="仿宋" w:eastAsia="仿宋" w:cs="仿宋"/>
          <w:b w:val="0"/>
          <w:bCs/>
          <w:sz w:val="30"/>
          <w:szCs w:val="30"/>
        </w:rPr>
        <w:t>%，主要原因为年初预算的村干部工资转由组织部发放，</w:t>
      </w:r>
      <w:r>
        <w:rPr>
          <w:rFonts w:hint="eastAsia" w:ascii="仿宋" w:hAnsi="仿宋" w:eastAsia="仿宋" w:cs="仿宋"/>
          <w:b w:val="0"/>
          <w:bCs/>
          <w:sz w:val="30"/>
          <w:szCs w:val="30"/>
          <w:lang w:eastAsia="zh-CN"/>
        </w:rPr>
        <w:t>编外人员工资及保险未拨付给我单位</w:t>
      </w:r>
      <w:r>
        <w:rPr>
          <w:rFonts w:hint="eastAsia" w:ascii="仿宋" w:hAnsi="仿宋" w:eastAsia="仿宋" w:cs="仿宋"/>
          <w:b w:val="0"/>
          <w:bCs/>
          <w:sz w:val="30"/>
          <w:szCs w:val="30"/>
        </w:rPr>
        <w:t>。业务工作完成率</w:t>
      </w:r>
      <w:r>
        <w:rPr>
          <w:rFonts w:hint="eastAsia" w:ascii="仿宋" w:hAnsi="仿宋" w:eastAsia="仿宋" w:cs="仿宋"/>
          <w:b w:val="0"/>
          <w:bCs/>
          <w:sz w:val="30"/>
          <w:szCs w:val="30"/>
          <w:lang w:eastAsia="zh-CN"/>
        </w:rPr>
        <w:t>等于百分之百</w:t>
      </w:r>
      <w:r>
        <w:rPr>
          <w:rFonts w:hint="eastAsia" w:ascii="仿宋" w:hAnsi="仿宋" w:eastAsia="仿宋" w:cs="仿宋"/>
          <w:b w:val="0"/>
          <w:bCs/>
          <w:sz w:val="30"/>
          <w:szCs w:val="30"/>
        </w:rPr>
        <w:t>;提供公共服务完成率</w:t>
      </w:r>
      <w:r>
        <w:rPr>
          <w:rFonts w:hint="eastAsia" w:ascii="仿宋" w:hAnsi="仿宋" w:eastAsia="仿宋" w:cs="仿宋"/>
          <w:b w:val="0"/>
          <w:bCs/>
          <w:sz w:val="30"/>
          <w:szCs w:val="30"/>
          <w:lang w:eastAsia="zh-CN"/>
        </w:rPr>
        <w:t>等于百分之百</w:t>
      </w:r>
      <w:r>
        <w:rPr>
          <w:rFonts w:hint="eastAsia" w:ascii="仿宋" w:hAnsi="仿宋" w:eastAsia="仿宋" w:cs="仿宋"/>
          <w:b w:val="0"/>
          <w:bCs/>
          <w:sz w:val="30"/>
          <w:szCs w:val="30"/>
        </w:rPr>
        <w:t>；重点民生保障率</w:t>
      </w:r>
      <w:r>
        <w:rPr>
          <w:rFonts w:hint="eastAsia" w:ascii="仿宋" w:hAnsi="仿宋" w:eastAsia="仿宋" w:cs="仿宋"/>
          <w:b w:val="0"/>
          <w:bCs/>
          <w:sz w:val="30"/>
          <w:szCs w:val="30"/>
          <w:lang w:eastAsia="zh-CN"/>
        </w:rPr>
        <w:t>等于百分之百；</w:t>
      </w:r>
      <w:r>
        <w:rPr>
          <w:rFonts w:hint="eastAsia" w:ascii="仿宋" w:hAnsi="仿宋" w:eastAsia="仿宋" w:cs="仿宋"/>
          <w:b w:val="0"/>
          <w:bCs/>
          <w:sz w:val="30"/>
          <w:szCs w:val="30"/>
          <w:lang w:val="en-US" w:eastAsia="zh-CN"/>
        </w:rPr>
        <w:t>各项工作政策宣传知晓率</w:t>
      </w:r>
      <w:r>
        <w:rPr>
          <w:rFonts w:hint="eastAsia" w:ascii="仿宋" w:hAnsi="仿宋" w:eastAsia="仿宋" w:cs="仿宋"/>
          <w:b w:val="0"/>
          <w:bCs/>
          <w:sz w:val="30"/>
          <w:szCs w:val="30"/>
          <w:lang w:eastAsia="zh-CN"/>
        </w:rPr>
        <w:t>等于百分之百；定额成本控制率等于百分之百；</w:t>
      </w:r>
      <w:r>
        <w:rPr>
          <w:rFonts w:hint="eastAsia" w:ascii="仿宋" w:hAnsi="仿宋" w:eastAsia="仿宋" w:cs="仿宋"/>
          <w:b w:val="0"/>
          <w:bCs/>
          <w:sz w:val="30"/>
          <w:szCs w:val="30"/>
          <w:lang w:val="en-US" w:eastAsia="zh-CN"/>
        </w:rPr>
        <w:t>制度健全性；资金使用合规。</w:t>
      </w:r>
    </w:p>
    <w:p>
      <w:pPr>
        <w:numPr>
          <w:ilvl w:val="0"/>
          <w:numId w:val="2"/>
        </w:numPr>
        <w:spacing w:before="0" w:after="0" w:line="300" w:lineRule="auto"/>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rPr>
        <w:t>部门效果目标实现情况</w:t>
      </w:r>
      <w:r>
        <w:rPr>
          <w:rFonts w:hint="eastAsia" w:ascii="仿宋" w:hAnsi="仿宋" w:eastAsia="仿宋" w:cs="仿宋"/>
          <w:b w:val="0"/>
          <w:bCs/>
          <w:sz w:val="30"/>
          <w:szCs w:val="30"/>
          <w:lang w:eastAsia="zh-CN"/>
        </w:rPr>
        <w:t>：</w:t>
      </w:r>
    </w:p>
    <w:p>
      <w:pPr>
        <w:numPr>
          <w:ilvl w:val="0"/>
          <w:numId w:val="0"/>
        </w:numPr>
        <w:spacing w:before="0" w:after="0" w:line="300" w:lineRule="auto"/>
        <w:ind w:firstLine="900" w:firstLineChars="3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阿戛镇2021年经济得到有效发展；单位工作效率得到有效提升、各项重点工作得到保障、提高可持续影响力有效巩固脱贫攻坚成果；得到了区委为政府对部门的肯定，不断提高了群众满意度。</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（三）绩效目标未完成情况及原因分析。</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绩效目标已完成</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六、主要经验、存在问题和建议</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（一）主要经验</w:t>
      </w:r>
    </w:p>
    <w:p>
      <w:pPr>
        <w:pStyle w:val="2"/>
        <w:ind w:firstLine="900" w:firstLineChars="300"/>
        <w:rPr>
          <w:rFonts w:hint="eastAsia" w:ascii="仿宋" w:hAnsi="仿宋" w:eastAsia="仿宋" w:cs="仿宋"/>
          <w:sz w:val="30"/>
          <w:szCs w:val="30"/>
          <w:lang w:eastAsia="zh-CN"/>
        </w:rPr>
      </w:pPr>
      <w:r>
        <w:rPr>
          <w:rFonts w:hint="eastAsia" w:ascii="仿宋" w:hAnsi="仿宋" w:eastAsia="仿宋" w:cs="仿宋"/>
          <w:b w:val="0"/>
          <w:bCs/>
          <w:sz w:val="30"/>
          <w:szCs w:val="30"/>
          <w:lang w:eastAsia="zh-CN"/>
        </w:rPr>
        <w:t>按时完成绩效目标，更进一步了解绩效相关工作。</w:t>
      </w:r>
    </w:p>
    <w:p>
      <w:pPr>
        <w:widowControl/>
        <w:shd w:val="clear" w:color="auto" w:fill="FFFFFF"/>
        <w:wordWrap/>
        <w:adjustRightInd/>
        <w:spacing w:line="40" w:lineRule="atLeast"/>
        <w:ind w:firstLine="561"/>
        <w:textAlignment w:val="auto"/>
        <w:outlineLvl w:val="9"/>
        <w:rPr>
          <w:rFonts w:hint="eastAsia" w:ascii="仿宋" w:hAnsi="仿宋" w:eastAsia="仿宋" w:cs="仿宋"/>
          <w:b w:val="0"/>
          <w:bCs/>
          <w:sz w:val="30"/>
          <w:szCs w:val="30"/>
          <w:lang w:eastAsia="zh-CN"/>
        </w:rPr>
      </w:pPr>
      <w:r>
        <w:rPr>
          <w:rFonts w:hint="eastAsia" w:ascii="仿宋" w:hAnsi="仿宋" w:eastAsia="仿宋" w:cs="仿宋"/>
          <w:b w:val="0"/>
          <w:bCs/>
          <w:sz w:val="30"/>
          <w:szCs w:val="30"/>
        </w:rPr>
        <w:t>（二）存在的问</w:t>
      </w:r>
      <w:r>
        <w:rPr>
          <w:rFonts w:hint="eastAsia" w:ascii="仿宋" w:hAnsi="仿宋" w:eastAsia="仿宋" w:cs="仿宋"/>
          <w:b w:val="0"/>
          <w:bCs/>
          <w:sz w:val="30"/>
          <w:szCs w:val="30"/>
          <w:lang w:eastAsia="zh-CN"/>
        </w:rPr>
        <w:t>题</w:t>
      </w:r>
    </w:p>
    <w:p>
      <w:pPr>
        <w:widowControl/>
        <w:shd w:val="clear" w:color="auto" w:fill="FFFFFF"/>
        <w:wordWrap/>
        <w:adjustRightInd/>
        <w:spacing w:line="40" w:lineRule="atLeast"/>
        <w:ind w:firstLine="561"/>
        <w:textAlignment w:val="auto"/>
        <w:outlineLvl w:val="9"/>
        <w:rPr>
          <w:rFonts w:hint="eastAsia" w:ascii="仿宋" w:hAnsi="仿宋" w:eastAsia="仿宋" w:cs="仿宋"/>
          <w:sz w:val="30"/>
          <w:szCs w:val="30"/>
          <w:lang w:eastAsia="zh-CN"/>
        </w:rPr>
      </w:pPr>
      <w:r>
        <w:rPr>
          <w:rFonts w:hint="eastAsia" w:ascii="仿宋" w:hAnsi="仿宋" w:eastAsia="仿宋" w:cs="仿宋"/>
          <w:bCs/>
          <w:color w:val="131313"/>
          <w:spacing w:val="17"/>
          <w:sz w:val="30"/>
          <w:szCs w:val="30"/>
          <w:lang w:eastAsia="zh-CN"/>
        </w:rPr>
        <w:t>⒈绩效评价工作的</w:t>
      </w:r>
      <w:r>
        <w:rPr>
          <w:rFonts w:hint="eastAsia" w:ascii="仿宋" w:hAnsi="仿宋" w:eastAsia="仿宋" w:cs="仿宋"/>
          <w:color w:val="131313"/>
          <w:spacing w:val="17"/>
          <w:sz w:val="30"/>
          <w:szCs w:val="30"/>
          <w:lang w:eastAsia="zh-CN"/>
        </w:rPr>
        <w:t>执行力有待进一步提高。</w:t>
      </w:r>
    </w:p>
    <w:p>
      <w:pPr>
        <w:widowControl/>
        <w:shd w:val="clear" w:color="auto" w:fill="FFFFFF"/>
        <w:wordWrap/>
        <w:adjustRightInd/>
        <w:spacing w:line="40" w:lineRule="atLeast"/>
        <w:ind w:firstLine="561"/>
        <w:textAlignment w:val="auto"/>
        <w:outlineLvl w:val="9"/>
        <w:rPr>
          <w:rFonts w:hint="eastAsia" w:ascii="仿宋" w:hAnsi="仿宋" w:eastAsia="仿宋" w:cs="仿宋"/>
          <w:sz w:val="30"/>
          <w:szCs w:val="30"/>
        </w:rPr>
      </w:pPr>
      <w:r>
        <w:rPr>
          <w:rFonts w:hint="eastAsia" w:ascii="仿宋" w:hAnsi="仿宋" w:eastAsia="仿宋" w:cs="仿宋"/>
          <w:bCs/>
          <w:color w:val="131313"/>
          <w:spacing w:val="17"/>
          <w:sz w:val="30"/>
          <w:szCs w:val="30"/>
          <w:lang w:eastAsia="zh-CN"/>
        </w:rPr>
        <w:t>⒉制度建设有待进一步完善</w:t>
      </w:r>
      <w:r>
        <w:rPr>
          <w:rFonts w:hint="eastAsia" w:ascii="仿宋" w:hAnsi="仿宋" w:eastAsia="仿宋" w:cs="仿宋"/>
          <w:color w:val="131313"/>
          <w:spacing w:val="17"/>
          <w:sz w:val="30"/>
          <w:szCs w:val="30"/>
          <w:lang w:eastAsia="zh-CN"/>
        </w:rPr>
        <w:t>。为保证易扶搬迁后续扶持，切实服务易扶搬迁群众、加快“两个社区”建设，需进一步完善单位财务制度体系和绩效评价体系为提升财务服务质量提供制度保障。</w:t>
      </w:r>
    </w:p>
    <w:p>
      <w:pPr>
        <w:numPr>
          <w:ilvl w:val="0"/>
          <w:numId w:val="2"/>
        </w:numPr>
        <w:spacing w:before="0" w:after="0" w:line="300" w:lineRule="auto"/>
        <w:ind w:left="0" w:leftChars="0"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后续工作计划</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bCs/>
          <w:kern w:val="0"/>
          <w:sz w:val="30"/>
          <w:szCs w:val="30"/>
          <w:lang w:val="en-US" w:eastAsia="zh-CN"/>
        </w:rPr>
        <w:t>不断提高绩效工作的意识和能力，提高思想认识，真正做到依法理财，努力改进我单位存在的不足，加强执行力，切实提高绩效服务水平和服务质量。</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（四）相关建议</w:t>
      </w:r>
    </w:p>
    <w:p>
      <w:pPr>
        <w:pStyle w:val="2"/>
        <w:ind w:firstLine="1200" w:firstLineChars="400"/>
        <w:rPr>
          <w:rFonts w:hint="eastAsia" w:ascii="仿宋" w:hAnsi="仿宋" w:eastAsia="仿宋" w:cs="仿宋"/>
          <w:sz w:val="30"/>
          <w:szCs w:val="30"/>
          <w:lang w:eastAsia="zh-CN"/>
        </w:rPr>
      </w:pPr>
      <w:r>
        <w:rPr>
          <w:rFonts w:hint="eastAsia" w:ascii="仿宋" w:hAnsi="仿宋" w:eastAsia="仿宋" w:cs="仿宋"/>
          <w:b w:val="0"/>
          <w:bCs/>
          <w:sz w:val="30"/>
          <w:szCs w:val="30"/>
          <w:lang w:eastAsia="zh-CN"/>
        </w:rPr>
        <w:t>无相关建议</w:t>
      </w:r>
    </w:p>
    <w:p>
      <w:pPr>
        <w:spacing w:before="0" w:after="0" w:line="300" w:lineRule="auto"/>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七、其他需说明的情况</w:t>
      </w:r>
    </w:p>
    <w:p>
      <w:pPr>
        <w:spacing w:before="0" w:after="0" w:line="300" w:lineRule="auto"/>
        <w:ind w:firstLine="1200" w:firstLineChars="4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eastAsia="zh-CN"/>
        </w:rPr>
        <w:t>无</w:t>
      </w:r>
      <w:r>
        <w:rPr>
          <w:rFonts w:hint="eastAsia" w:ascii="仿宋" w:hAnsi="仿宋" w:eastAsia="仿宋" w:cs="仿宋"/>
          <w:b w:val="0"/>
          <w:bCs/>
          <w:sz w:val="30"/>
          <w:szCs w:val="30"/>
          <w:lang w:val="en-US" w:eastAsia="zh-CN"/>
        </w:rPr>
        <w:t xml:space="preserve"> </w:t>
      </w:r>
    </w:p>
    <w:p>
      <w:pPr>
        <w:spacing w:before="0" w:after="0" w:line="300" w:lineRule="auto"/>
        <w:ind w:firstLine="5400" w:firstLineChars="1800"/>
        <w:rPr>
          <w:rFonts w:hint="eastAsia" w:ascii="仿宋" w:hAnsi="仿宋" w:eastAsia="仿宋" w:cs="仿宋"/>
          <w:b w:val="0"/>
          <w:bCs/>
          <w:sz w:val="30"/>
          <w:szCs w:val="30"/>
          <w:lang w:val="en-US" w:eastAsia="zh-CN"/>
        </w:rPr>
      </w:pPr>
    </w:p>
    <w:p>
      <w:pPr>
        <w:spacing w:before="0" w:after="0" w:line="300" w:lineRule="auto"/>
        <w:ind w:firstLine="5400" w:firstLineChars="1800"/>
        <w:rPr>
          <w:rFonts w:hint="eastAsia" w:ascii="仿宋" w:hAnsi="仿宋" w:eastAsia="仿宋" w:cs="仿宋"/>
          <w:b w:val="0"/>
          <w:bCs/>
          <w:sz w:val="30"/>
          <w:szCs w:val="30"/>
          <w:lang w:val="en-US" w:eastAsia="zh-CN"/>
        </w:rPr>
      </w:pPr>
    </w:p>
    <w:p>
      <w:pPr>
        <w:spacing w:before="0" w:after="0" w:line="300" w:lineRule="auto"/>
        <w:ind w:firstLine="5400" w:firstLineChars="1800"/>
        <w:rPr>
          <w:rFonts w:hint="eastAsia" w:ascii="仿宋" w:hAnsi="仿宋" w:eastAsia="仿宋" w:cs="仿宋"/>
          <w:b w:val="0"/>
          <w:bCs/>
          <w:sz w:val="30"/>
          <w:szCs w:val="30"/>
          <w:lang w:val="en-US" w:eastAsia="zh-CN"/>
        </w:rPr>
      </w:pPr>
    </w:p>
    <w:p>
      <w:pPr>
        <w:spacing w:before="0" w:after="0" w:line="300" w:lineRule="auto"/>
        <w:ind w:firstLine="5400" w:firstLineChars="180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2022年1月18日</w:t>
      </w:r>
    </w:p>
    <w:p>
      <w:pPr>
        <w:rPr>
          <w:sz w:val="30"/>
          <w:szCs w:val="30"/>
        </w:rPr>
      </w:pPr>
    </w:p>
    <w:sectPr>
      <w:headerReference r:id="rId3" w:type="default"/>
      <w:footerReference r:id="rId4" w:type="default"/>
      <w:pgSz w:w="11906" w:h="16838"/>
      <w:pgMar w:top="2098" w:right="1474" w:bottom="1984" w:left="1588"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1" w:fontKey="{61B3CE0F-4525-4BD0-9CD5-022504E66514}"/>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方正小标宋简体">
    <w:panose1 w:val="02000000000000000000"/>
    <w:charset w:val="86"/>
    <w:family w:val="script"/>
    <w:pitch w:val="default"/>
    <w:sig w:usb0="00000001" w:usb1="08000000" w:usb2="00000000" w:usb3="00000000" w:csb0="00040000" w:csb1="00000000"/>
    <w:embedRegular r:id="rId2" w:fontKey="{F45CD603-45CD-4667-ABE7-A36C69292BC7}"/>
  </w:font>
  <w:font w:name="仿宋">
    <w:panose1 w:val="02010609060101010101"/>
    <w:charset w:val="86"/>
    <w:family w:val="auto"/>
    <w:pitch w:val="default"/>
    <w:sig w:usb0="800002BF" w:usb1="38CF7CFA" w:usb2="00000016" w:usb3="00000000" w:csb0="00040001" w:csb1="00000000"/>
    <w:embedRegular r:id="rId3" w:fontKey="{23C3AEFC-19BE-49BA-BF13-31BFE084D2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4965"/>
        <w:tab w:val="clear" w:pos="4153"/>
      </w:tabs>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15340" cy="1828800"/>
              <wp:effectExtent l="0" t="0" r="0" b="0"/>
              <wp:wrapNone/>
              <wp:docPr id="1" name="文本框 2089"/>
              <wp:cNvGraphicFramePr/>
              <a:graphic xmlns:a="http://schemas.openxmlformats.org/drawingml/2006/main">
                <a:graphicData uri="http://schemas.microsoft.com/office/word/2010/wordprocessingShape">
                  <wps:wsp>
                    <wps:cNvSpPr txBox="1"/>
                    <wps:spPr>
                      <a:xfrm>
                        <a:off x="0" y="0"/>
                        <a:ext cx="815340" cy="1828800"/>
                      </a:xfrm>
                      <a:prstGeom prst="rect">
                        <a:avLst/>
                      </a:prstGeom>
                      <a:noFill/>
                      <a:ln>
                        <a:noFill/>
                      </a:ln>
                      <a:effectLst/>
                    </wps:spPr>
                    <wps:txbx>
                      <w:txbxContent>
                        <w:p>
                          <w:pPr>
                            <w:snapToGrid w:val="0"/>
                            <w:ind w:firstLine="280" w:firstLineChars="10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- 4 -</w:t>
                          </w:r>
                          <w:r>
                            <w:rPr>
                              <w:rFonts w:hint="eastAsia" w:ascii="宋体" w:hAnsi="宋体" w:eastAsia="宋体" w:cs="宋体"/>
                              <w:sz w:val="28"/>
                              <w:szCs w:val="28"/>
                            </w:rPr>
                            <w:fldChar w:fldCharType="end"/>
                          </w:r>
                        </w:p>
                      </w:txbxContent>
                    </wps:txbx>
                    <wps:bodyPr wrap="square" lIns="0" tIns="0" rIns="0" bIns="0" upright="0">
                      <a:spAutoFit/>
                    </wps:bodyPr>
                  </wps:wsp>
                </a:graphicData>
              </a:graphic>
            </wp:anchor>
          </w:drawing>
        </mc:Choice>
        <mc:Fallback>
          <w:pict>
            <v:shape id="文本框 2089" o:spid="_x0000_s1026" o:spt="202" type="#_x0000_t202" style="position:absolute;left:0pt;margin-top:0pt;height:144pt;width:64.2pt;mso-position-horizontal:outside;mso-position-horizontal-relative:margin;z-index:251659264;mso-width-relative:page;mso-height-relative:page;" filled="f" stroked="f" coordsize="21600,21600" o:gfxdata="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fwsKk0gAAAAUBAAAPAAAAAAAAAAEAIAAAACIA&#10;AABkcnMvZG93bnJldi54bWxQSwECFAAUAAAACACHTuJA5vzXVNYBAACrAwAADgAAAAAAAAABACAA&#10;AAAhAQAAZHJzL2Uyb0RvYy54bWxQSwUGAAAAAAYABgBZAQAAaQUAAAAA&#10;">
              <v:fill on="f" focussize="0,0"/>
              <v:stroke on="f"/>
              <v:imagedata o:title=""/>
              <o:lock v:ext="edit" aspectratio="f"/>
              <v:textbox inset="0mm,0mm,0mm,0mm" style="mso-fit-shape-to-text:t;">
                <w:txbxContent>
                  <w:p>
                    <w:pPr>
                      <w:snapToGrid w:val="0"/>
                      <w:ind w:firstLine="280" w:firstLineChars="10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- 4 -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4CECC"/>
    <w:multiLevelType w:val="singleLevel"/>
    <w:tmpl w:val="F004CECC"/>
    <w:lvl w:ilvl="0" w:tentative="0">
      <w:start w:val="2"/>
      <w:numFmt w:val="chineseCounting"/>
      <w:suff w:val="nothing"/>
      <w:lvlText w:val="（%1）"/>
      <w:lvlJc w:val="left"/>
      <w:rPr>
        <w:rFonts w:hint="eastAsia"/>
      </w:rPr>
    </w:lvl>
  </w:abstractNum>
  <w:abstractNum w:abstractNumId="1">
    <w:nsid w:val="238B3FED"/>
    <w:multiLevelType w:val="singleLevel"/>
    <w:tmpl w:val="238B3FE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NmZjZjEzYTIyZTc4ZTJlNDNiNGFhYjA1NWRkZGUifQ=="/>
  </w:docVars>
  <w:rsids>
    <w:rsidRoot w:val="00172A27"/>
    <w:rsid w:val="00172A27"/>
    <w:rsid w:val="005527AF"/>
    <w:rsid w:val="00704D8C"/>
    <w:rsid w:val="00933AD0"/>
    <w:rsid w:val="009C6F2E"/>
    <w:rsid w:val="02717E29"/>
    <w:rsid w:val="03A5079A"/>
    <w:rsid w:val="04B647AA"/>
    <w:rsid w:val="08163A15"/>
    <w:rsid w:val="11883CAB"/>
    <w:rsid w:val="12266F4A"/>
    <w:rsid w:val="134040DE"/>
    <w:rsid w:val="16064095"/>
    <w:rsid w:val="16E9543B"/>
    <w:rsid w:val="17DC7EFE"/>
    <w:rsid w:val="195C14A3"/>
    <w:rsid w:val="223C305A"/>
    <w:rsid w:val="265B4CB2"/>
    <w:rsid w:val="29FF4670"/>
    <w:rsid w:val="2A234631"/>
    <w:rsid w:val="2CA20884"/>
    <w:rsid w:val="31305298"/>
    <w:rsid w:val="35884863"/>
    <w:rsid w:val="392A6A70"/>
    <w:rsid w:val="3A1E08FF"/>
    <w:rsid w:val="3E364DA9"/>
    <w:rsid w:val="4014179B"/>
    <w:rsid w:val="41CD6CF7"/>
    <w:rsid w:val="45992FB4"/>
    <w:rsid w:val="45CD3213"/>
    <w:rsid w:val="4CF75968"/>
    <w:rsid w:val="4D843FF0"/>
    <w:rsid w:val="4FA74793"/>
    <w:rsid w:val="56A07375"/>
    <w:rsid w:val="5CA906D4"/>
    <w:rsid w:val="5CF14872"/>
    <w:rsid w:val="5D891708"/>
    <w:rsid w:val="5F97237A"/>
    <w:rsid w:val="606C5D93"/>
    <w:rsid w:val="608F5287"/>
    <w:rsid w:val="60E04DCD"/>
    <w:rsid w:val="63FE69AC"/>
    <w:rsid w:val="65ED6CD8"/>
    <w:rsid w:val="6958090C"/>
    <w:rsid w:val="6AEC22C4"/>
    <w:rsid w:val="6C947077"/>
    <w:rsid w:val="74A7099A"/>
    <w:rsid w:val="782F095F"/>
    <w:rsid w:val="7A5D6D59"/>
    <w:rsid w:val="7A602D09"/>
    <w:rsid w:val="7CF624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5">
    <w:name w:val="heading 1"/>
    <w:basedOn w:val="1"/>
    <w:next w:val="1"/>
    <w:link w:val="26"/>
    <w:qFormat/>
    <w:uiPriority w:val="0"/>
    <w:pPr>
      <w:keepNext/>
      <w:keepLines/>
      <w:spacing w:line="578" w:lineRule="auto"/>
      <w:outlineLvl w:val="0"/>
    </w:pPr>
    <w:rPr>
      <w:rFonts w:ascii="Arial" w:hAnsi="Arial" w:eastAsia="黑体"/>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text"/>
    <w:basedOn w:val="1"/>
    <w:qFormat/>
    <w:uiPriority w:val="0"/>
    <w:pPr>
      <w:jc w:val="left"/>
    </w:pPr>
  </w:style>
  <w:style w:type="paragraph" w:styleId="7">
    <w:name w:val="Body Text"/>
    <w:basedOn w:val="1"/>
    <w:next w:val="8"/>
    <w:qFormat/>
    <w:uiPriority w:val="0"/>
  </w:style>
  <w:style w:type="paragraph" w:styleId="8">
    <w:name w:val="Title"/>
    <w:basedOn w:val="1"/>
    <w:qFormat/>
    <w:uiPriority w:val="0"/>
    <w:pPr>
      <w:jc w:val="center"/>
      <w:outlineLvl w:val="0"/>
    </w:pPr>
    <w:rPr>
      <w:rFonts w:ascii="方正小标宋_GBK" w:hAnsi="方正小标宋_GBK" w:eastAsia="方正小标宋_GBK" w:cs="方正小标宋_GBK"/>
      <w:bCs/>
      <w:sz w:val="44"/>
      <w:szCs w:val="44"/>
    </w:rPr>
  </w:style>
  <w:style w:type="paragraph" w:styleId="9">
    <w:name w:val="Plain Text"/>
    <w:basedOn w:val="1"/>
    <w:qFormat/>
    <w:uiPriority w:val="0"/>
    <w:rPr>
      <w:rFonts w:hint="eastAsia" w:ascii="宋体" w:hAnsi="Courier New" w:eastAsia="宋体"/>
      <w:sz w:val="21"/>
      <w:szCs w:val="21"/>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Normal (Web)"/>
    <w:basedOn w:val="1"/>
    <w:qFormat/>
    <w:uiPriority w:val="0"/>
    <w:pPr>
      <w:spacing w:beforeAutospacing="1" w:afterAutospacing="1"/>
      <w:jc w:val="left"/>
    </w:pPr>
    <w:rPr>
      <w:kern w:val="0"/>
      <w:sz w:val="24"/>
    </w:rPr>
  </w:style>
  <w:style w:type="character" w:styleId="16">
    <w:name w:val="Strong"/>
    <w:basedOn w:val="15"/>
    <w:qFormat/>
    <w:uiPriority w:val="0"/>
    <w:rPr>
      <w:b/>
    </w:rPr>
  </w:style>
  <w:style w:type="character" w:styleId="17">
    <w:name w:val="page number"/>
    <w:basedOn w:val="15"/>
    <w:qFormat/>
    <w:uiPriority w:val="0"/>
    <w:rPr>
      <w:rFonts w:hint="default" w:ascii="Times New Roman" w:hAnsi="Times New Roman" w:eastAsia="宋体" w:cs="Times New Roman"/>
    </w:rPr>
  </w:style>
  <w:style w:type="character" w:styleId="18">
    <w:name w:val="FollowedHyperlink"/>
    <w:basedOn w:val="15"/>
    <w:qFormat/>
    <w:uiPriority w:val="0"/>
    <w:rPr>
      <w:color w:val="296FBE"/>
      <w:u w:val="none"/>
    </w:rPr>
  </w:style>
  <w:style w:type="character" w:styleId="19">
    <w:name w:val="Emphasis"/>
    <w:qFormat/>
    <w:uiPriority w:val="0"/>
    <w:rPr>
      <w:rFonts w:hint="default"/>
      <w:i/>
    </w:rPr>
  </w:style>
  <w:style w:type="character" w:styleId="20">
    <w:name w:val="HTML Definition"/>
    <w:basedOn w:val="15"/>
    <w:qFormat/>
    <w:uiPriority w:val="0"/>
  </w:style>
  <w:style w:type="character" w:styleId="21">
    <w:name w:val="HTML Variable"/>
    <w:basedOn w:val="15"/>
    <w:qFormat/>
    <w:uiPriority w:val="0"/>
  </w:style>
  <w:style w:type="character" w:styleId="22">
    <w:name w:val="Hyperlink"/>
    <w:basedOn w:val="15"/>
    <w:qFormat/>
    <w:uiPriority w:val="0"/>
    <w:rPr>
      <w:color w:val="296FBE"/>
      <w:u w:val="none"/>
    </w:rPr>
  </w:style>
  <w:style w:type="character" w:styleId="23">
    <w:name w:val="HTML Code"/>
    <w:basedOn w:val="15"/>
    <w:qFormat/>
    <w:uiPriority w:val="0"/>
    <w:rPr>
      <w:rFonts w:ascii="微软雅黑" w:hAnsi="微软雅黑" w:eastAsia="微软雅黑" w:cs="微软雅黑"/>
      <w:sz w:val="20"/>
    </w:rPr>
  </w:style>
  <w:style w:type="character" w:styleId="24">
    <w:name w:val="HTML Cite"/>
    <w:basedOn w:val="15"/>
    <w:qFormat/>
    <w:uiPriority w:val="0"/>
  </w:style>
  <w:style w:type="paragraph" w:customStyle="1" w:styleId="25">
    <w:name w:val="Char"/>
    <w:basedOn w:val="1"/>
    <w:qFormat/>
    <w:uiPriority w:val="0"/>
    <w:pPr>
      <w:autoSpaceDE w:val="0"/>
      <w:autoSpaceDN w:val="0"/>
      <w:adjustRightInd w:val="0"/>
      <w:snapToGrid w:val="0"/>
      <w:spacing w:line="360" w:lineRule="auto"/>
      <w:ind w:firstLine="560" w:firstLineChars="200"/>
    </w:pPr>
  </w:style>
  <w:style w:type="character" w:customStyle="1" w:styleId="26">
    <w:name w:val="标题 1 Char"/>
    <w:basedOn w:val="15"/>
    <w:link w:val="5"/>
    <w:qFormat/>
    <w:uiPriority w:val="0"/>
    <w:rPr>
      <w:rFonts w:hint="default" w:ascii="Arial" w:hAnsi="Arial" w:eastAsia="黑体" w:cs="Arial"/>
      <w:kern w:val="2"/>
      <w:sz w:val="32"/>
      <w:lang w:val="en-US" w:eastAsia="zh-CN"/>
    </w:rPr>
  </w:style>
  <w:style w:type="character" w:customStyle="1" w:styleId="27">
    <w:name w:val="pagechatarealistclose_box"/>
    <w:basedOn w:val="15"/>
    <w:qFormat/>
    <w:uiPriority w:val="0"/>
  </w:style>
  <w:style w:type="character" w:customStyle="1" w:styleId="28">
    <w:name w:val="browse_class&gt;input"/>
    <w:basedOn w:val="15"/>
    <w:qFormat/>
    <w:uiPriority w:val="0"/>
    <w:rPr>
      <w:shd w:val="clear" w:color="auto" w:fill="F8F8F8"/>
    </w:rPr>
  </w:style>
  <w:style w:type="character" w:customStyle="1" w:styleId="29">
    <w:name w:val="browse_class&gt;label"/>
    <w:basedOn w:val="15"/>
    <w:qFormat/>
    <w:uiPriority w:val="0"/>
    <w:rPr>
      <w:shd w:val="clear" w:color="auto" w:fill="F8F8F8"/>
    </w:rPr>
  </w:style>
  <w:style w:type="character" w:customStyle="1" w:styleId="30">
    <w:name w:val="edit_class"/>
    <w:basedOn w:val="15"/>
    <w:qFormat/>
    <w:uiPriority w:val="0"/>
  </w:style>
  <w:style w:type="character" w:customStyle="1" w:styleId="31">
    <w:name w:val="token-input-delete-token"/>
    <w:basedOn w:val="15"/>
    <w:qFormat/>
    <w:uiPriority w:val="0"/>
    <w:rPr>
      <w:color w:val="FFFFFF"/>
    </w:rPr>
  </w:style>
  <w:style w:type="character" w:customStyle="1" w:styleId="32">
    <w:name w:val="active12"/>
    <w:basedOn w:val="15"/>
    <w:qFormat/>
    <w:uiPriority w:val="0"/>
    <w:rPr>
      <w:color w:val="00FF00"/>
      <w:shd w:val="clear" w:color="auto" w:fill="111111"/>
    </w:rPr>
  </w:style>
  <w:style w:type="character" w:customStyle="1" w:styleId="33">
    <w:name w:val="cy"/>
    <w:basedOn w:val="15"/>
    <w:qFormat/>
    <w:uiPriority w:val="0"/>
  </w:style>
  <w:style w:type="character" w:customStyle="1" w:styleId="34">
    <w:name w:val="cdropright"/>
    <w:basedOn w:val="15"/>
    <w:qFormat/>
    <w:uiPriority w:val="0"/>
  </w:style>
  <w:style w:type="character" w:customStyle="1" w:styleId="35">
    <w:name w:val="button"/>
    <w:basedOn w:val="15"/>
    <w:qFormat/>
    <w:uiPriority w:val="0"/>
  </w:style>
  <w:style w:type="character" w:customStyle="1" w:styleId="36">
    <w:name w:val="browse_class&gt;span"/>
    <w:basedOn w:val="15"/>
    <w:qFormat/>
    <w:uiPriority w:val="0"/>
    <w:rPr>
      <w:shd w:val="clear" w:color="auto" w:fill="F8F8F8"/>
    </w:rPr>
  </w:style>
  <w:style w:type="character" w:customStyle="1" w:styleId="37">
    <w:name w:val="xdrichtextbox2"/>
    <w:basedOn w:val="15"/>
    <w:qFormat/>
    <w:uiPriority w:val="0"/>
  </w:style>
  <w:style w:type="character" w:customStyle="1" w:styleId="38">
    <w:name w:val="ico1655"/>
    <w:basedOn w:val="15"/>
    <w:qFormat/>
    <w:uiPriority w:val="0"/>
  </w:style>
  <w:style w:type="character" w:customStyle="1" w:styleId="39">
    <w:name w:val="tmpztreemove_arrow"/>
    <w:basedOn w:val="15"/>
    <w:qFormat/>
    <w:uiPriority w:val="0"/>
  </w:style>
  <w:style w:type="character" w:customStyle="1" w:styleId="40">
    <w:name w:val="ico1654"/>
    <w:basedOn w:val="15"/>
    <w:qFormat/>
    <w:uiPriority w:val="0"/>
  </w:style>
  <w:style w:type="character" w:customStyle="1" w:styleId="41">
    <w:name w:val="drapbtn"/>
    <w:basedOn w:val="15"/>
    <w:qFormat/>
    <w:uiPriority w:val="0"/>
  </w:style>
  <w:style w:type="character" w:customStyle="1" w:styleId="42">
    <w:name w:val="hilite6"/>
    <w:basedOn w:val="15"/>
    <w:qFormat/>
    <w:uiPriority w:val="0"/>
    <w:rPr>
      <w:color w:val="FFFFFF"/>
      <w:shd w:val="clear" w:color="auto" w:fill="666677"/>
    </w:rPr>
  </w:style>
  <w:style w:type="character" w:customStyle="1" w:styleId="43">
    <w:name w:val="w32"/>
    <w:basedOn w:val="15"/>
    <w:qFormat/>
    <w:uiPriority w:val="0"/>
  </w:style>
  <w:style w:type="character" w:customStyle="1" w:styleId="44">
    <w:name w:val="font21"/>
    <w:basedOn w:val="15"/>
    <w:qFormat/>
    <w:uiPriority w:val="0"/>
    <w:rPr>
      <w:rFonts w:hint="eastAsia" w:ascii="宋体" w:hAnsi="宋体" w:eastAsia="宋体" w:cs="宋体"/>
      <w:b/>
      <w:color w:val="000000"/>
      <w:sz w:val="24"/>
      <w:szCs w:val="24"/>
      <w:u w:val="none"/>
    </w:rPr>
  </w:style>
  <w:style w:type="character" w:customStyle="1" w:styleId="45">
    <w:name w:val="cdropleft"/>
    <w:basedOn w:val="15"/>
    <w:qFormat/>
    <w:uiPriority w:val="0"/>
  </w:style>
  <w:style w:type="character" w:customStyle="1" w:styleId="46">
    <w:name w:val="font11"/>
    <w:basedOn w:val="15"/>
    <w:qFormat/>
    <w:uiPriority w:val="0"/>
    <w:rPr>
      <w:rFonts w:hint="default" w:ascii="Tahoma" w:hAnsi="Tahoma" w:eastAsia="Tahoma" w:cs="Tahoma"/>
      <w:b/>
      <w:color w:val="000000"/>
      <w:sz w:val="24"/>
      <w:szCs w:val="24"/>
      <w:u w:val="none"/>
    </w:rPr>
  </w:style>
  <w:style w:type="character" w:customStyle="1" w:styleId="47">
    <w:name w:val="biggerthanmax"/>
    <w:basedOn w:val="15"/>
    <w:qFormat/>
    <w:uiPriority w:val="0"/>
    <w:rPr>
      <w:shd w:val="clear" w:color="auto" w:fill="FFFF00"/>
    </w:rPr>
  </w:style>
  <w:style w:type="character" w:customStyle="1" w:styleId="48">
    <w:name w:val="design_class"/>
    <w:basedOn w:val="15"/>
    <w:qFormat/>
    <w:uiPriority w:val="0"/>
  </w:style>
  <w:style w:type="character" w:customStyle="1" w:styleId="49">
    <w:name w:val="pagechatarealistclose_box1"/>
    <w:basedOn w:val="15"/>
    <w:qFormat/>
    <w:uiPriority w:val="0"/>
  </w:style>
  <w:style w:type="paragraph" w:customStyle="1" w:styleId="50">
    <w:name w:val="p17"/>
    <w:basedOn w:val="1"/>
    <w:qFormat/>
    <w:uiPriority w:val="0"/>
    <w:pPr>
      <w:widowControl/>
      <w:ind w:firstLine="420"/>
    </w:pPr>
    <w:rPr>
      <w:rFonts w:ascii="Calibri" w:hAnsi="Calibri" w:eastAsia="宋体"/>
      <w:kern w:val="0"/>
      <w:sz w:val="21"/>
      <w:szCs w:val="21"/>
    </w:rPr>
  </w:style>
  <w:style w:type="paragraph" w:customStyle="1" w:styleId="51">
    <w:name w:val="普通(网站)1"/>
    <w:basedOn w:val="1"/>
    <w:qFormat/>
    <w:uiPriority w:val="0"/>
    <w:pPr>
      <w:jc w:val="left"/>
    </w:pPr>
    <w:rPr>
      <w:rFonts w:ascii="Calibri" w:hAnsi="Calibri" w:eastAsia="宋体"/>
      <w:kern w:val="0"/>
      <w:sz w:val="24"/>
      <w:szCs w:val="24"/>
    </w:rPr>
  </w:style>
  <w:style w:type="paragraph" w:customStyle="1" w:styleId="52">
    <w:name w:val="UserStyle_0"/>
    <w:next w:val="53"/>
    <w:qFormat/>
    <w:uiPriority w:val="0"/>
    <w:pPr>
      <w:jc w:val="both"/>
      <w:textAlignment w:val="baseline"/>
    </w:pPr>
    <w:rPr>
      <w:rFonts w:ascii="Times New Roman" w:hAnsi="Times New Roman" w:eastAsia="宋体" w:cs="黑体"/>
      <w:kern w:val="2"/>
      <w:sz w:val="21"/>
      <w:lang w:val="en-US" w:eastAsia="zh-CN" w:bidi="ar-SA"/>
    </w:rPr>
  </w:style>
  <w:style w:type="paragraph" w:customStyle="1" w:styleId="53">
    <w:name w:val="UserStyle_1"/>
    <w:basedOn w:val="52"/>
    <w:next w:val="4"/>
    <w:qFormat/>
    <w:uiPriority w:val="0"/>
    <w:pPr>
      <w:ind w:firstLine="200" w:firstLineChars="200"/>
    </w:pPr>
  </w:style>
  <w:style w:type="paragraph" w:customStyle="1" w:styleId="54">
    <w:name w:val="正文1"/>
    <w:next w:val="2"/>
    <w:qFormat/>
    <w:uiPriority w:val="0"/>
    <w:pPr>
      <w:jc w:val="both"/>
    </w:pPr>
    <w:rPr>
      <w:rFonts w:ascii="Calibri" w:hAnsi="Calibri" w:eastAsia="宋体" w:cs="黑体"/>
      <w:sz w:val="21"/>
      <w:szCs w:val="22"/>
      <w:lang w:val="en-US" w:eastAsia="zh-CN" w:bidi="ar-SA"/>
    </w:rPr>
  </w:style>
  <w:style w:type="paragraph" w:customStyle="1" w:styleId="55">
    <w:name w:val="p15"/>
    <w:basedOn w:val="1"/>
    <w:qFormat/>
    <w:uiPriority w:val="0"/>
    <w:pPr>
      <w:widowControl/>
      <w:jc w:val="left"/>
    </w:pPr>
    <w:rPr>
      <w:rFonts w:ascii="宋体" w:hAnsi="宋体" w:cs="宋体"/>
      <w:kern w:val="0"/>
      <w:sz w:val="24"/>
    </w:rPr>
  </w:style>
  <w:style w:type="paragraph" w:customStyle="1" w:styleId="56">
    <w:name w:val="p0"/>
    <w:basedOn w:val="1"/>
    <w:qFormat/>
    <w:uiPriority w:val="0"/>
    <w:pPr>
      <w:widowControl/>
    </w:pPr>
    <w:rPr>
      <w:rFonts w:cs="宋体"/>
      <w:kern w:val="0"/>
      <w:szCs w:val="21"/>
    </w:rPr>
  </w:style>
  <w:style w:type="paragraph" w:customStyle="1" w:styleId="57">
    <w:name w:val="缺省文本"/>
    <w:basedOn w:val="1"/>
    <w:qFormat/>
    <w:uiPriority w:val="0"/>
    <w:pPr>
      <w:autoSpaceDE w:val="0"/>
      <w:autoSpaceDN w:val="0"/>
      <w:adjustRightInd w:val="0"/>
      <w:jc w:val="left"/>
    </w:pPr>
    <w:rPr>
      <w:rFonts w:ascii="Calibri" w:hAnsi="Calibri" w:eastAsia="宋体"/>
      <w:kern w:val="0"/>
      <w:sz w:val="24"/>
      <w:szCs w:val="22"/>
    </w:rPr>
  </w:style>
  <w:style w:type="paragraph" w:customStyle="1" w:styleId="58">
    <w:name w:val="Table Paragraph"/>
    <w:basedOn w:val="1"/>
    <w:qFormat/>
    <w:uiPriority w:val="0"/>
  </w:style>
  <w:style w:type="paragraph" w:customStyle="1" w:styleId="59">
    <w:name w:val="Body text|2"/>
    <w:basedOn w:val="1"/>
    <w:qFormat/>
    <w:uiPriority w:val="0"/>
    <w:pPr>
      <w:shd w:val="clear" w:color="auto" w:fill="FFFFFF"/>
      <w:spacing w:line="280" w:lineRule="exact"/>
      <w:jc w:val="center"/>
    </w:pPr>
    <w:rPr>
      <w:rFonts w:hint="eastAsia" w:ascii="PMingLiU" w:hAnsi="PMingLiU" w:eastAsia="PMingLiU"/>
      <w:spacing w:val="2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4522</Words>
  <Characters>4658</Characters>
  <Lines>11</Lines>
  <Paragraphs>3</Paragraphs>
  <TotalTime>3</TotalTime>
  <ScaleCrop>false</ScaleCrop>
  <LinksUpToDate>false</LinksUpToDate>
  <CharactersWithSpaces>4704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2018-03-26T07:58:00Z</dcterms:created>
  <dc:creator>曾华琴</dc:creator>
  <cp:lastModifiedBy>十点以后的声音</cp:lastModifiedBy>
  <cp:lastPrinted>2021-06-03T10:25:00Z</cp:lastPrinted>
  <dcterms:modified xsi:type="dcterms:W3CDTF">2023-11-10T08:49:34Z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CD6C0045EC6240E6ADE0D8AE8468E7CD_13</vt:lpwstr>
  </property>
</Properties>
</file>