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val="0"/>
        <w:wordWrap/>
        <w:overflowPunct/>
        <w:topLinePunct w:val="0"/>
        <w:autoSpaceDE w:val="0"/>
        <w:autoSpaceDN w:val="0"/>
        <w:bidi w:val="0"/>
        <w:adjustRightInd w:val="0"/>
        <w:snapToGrid w:val="0"/>
        <w:spacing w:line="480" w:lineRule="exact"/>
        <w:jc w:val="center"/>
        <w:textAlignment w:val="baseline"/>
        <w:rPr>
          <w:rFonts w:hint="eastAsia" w:ascii="宋体" w:hAnsi="宋体" w:eastAsia="宋体" w:cs="宋体"/>
          <w:b w:val="0"/>
          <w:bCs w:val="0"/>
          <w:spacing w:val="-1"/>
          <w:sz w:val="44"/>
          <w:szCs w:val="44"/>
        </w:rPr>
      </w:pPr>
      <w:r>
        <w:rPr>
          <w:rFonts w:hint="eastAsia" w:ascii="方正小标宋简体" w:hAnsi="方正小标宋简体" w:eastAsia="方正小标宋简体" w:cs="方正小标宋简体"/>
          <w:b w:val="0"/>
          <w:bCs w:val="0"/>
          <w:spacing w:val="-1"/>
          <w:sz w:val="44"/>
          <w:szCs w:val="44"/>
        </w:rPr>
        <w:t>玉舍特色小镇PPP项目资金绩效自评报告</w:t>
      </w:r>
    </w:p>
    <w:p>
      <w:pPr>
        <w:keepNext w:val="0"/>
        <w:keepLines w:val="0"/>
        <w:pageBreakBefore w:val="0"/>
        <w:widowControl/>
        <w:kinsoku w:val="0"/>
        <w:wordWrap/>
        <w:overflowPunct/>
        <w:topLinePunct w:val="0"/>
        <w:autoSpaceDE w:val="0"/>
        <w:autoSpaceDN w:val="0"/>
        <w:bidi w:val="0"/>
        <w:adjustRightInd w:val="0"/>
        <w:snapToGrid w:val="0"/>
        <w:spacing w:line="578" w:lineRule="exact"/>
        <w:jc w:val="center"/>
        <w:textAlignment w:val="baseline"/>
        <w:rPr>
          <w:rFonts w:hint="eastAsia" w:ascii="仿宋_GB2312" w:hAnsi="仿宋_GB2312" w:eastAsia="仿宋_GB2312" w:cs="仿宋_GB2312"/>
          <w:spacing w:val="-1"/>
          <w:sz w:val="32"/>
          <w:szCs w:val="32"/>
        </w:rPr>
      </w:pPr>
    </w:p>
    <w:p>
      <w:pPr>
        <w:keepNext w:val="0"/>
        <w:keepLines w:val="0"/>
        <w:pageBreakBefore w:val="0"/>
        <w:widowControl/>
        <w:numPr>
          <w:ilvl w:val="0"/>
          <w:numId w:val="0"/>
        </w:numPr>
        <w:tabs>
          <w:tab w:val="left" w:pos="546"/>
        </w:tabs>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黑体" w:hAnsi="黑体" w:eastAsia="黑体" w:cs="黑体"/>
          <w:b w:val="0"/>
          <w:bCs w:val="0"/>
          <w:spacing w:val="-1"/>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绩效自评基本情况</w:t>
      </w:r>
    </w:p>
    <w:p>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6" w:firstLineChars="200"/>
        <w:textAlignment w:val="baseline"/>
        <w:rPr>
          <w:rFonts w:hint="eastAsia" w:ascii="楷体_GB2312" w:hAnsi="楷体_GB2312" w:eastAsia="楷体_GB2312" w:cs="楷体_GB2312"/>
          <w:b w:val="0"/>
          <w:bCs w:val="0"/>
          <w:spacing w:val="-1"/>
          <w:sz w:val="32"/>
          <w:szCs w:val="32"/>
          <w:lang w:val="en-US" w:eastAsia="zh-CN"/>
        </w:rPr>
      </w:pPr>
      <w:r>
        <w:rPr>
          <w:rFonts w:hint="eastAsia" w:ascii="楷体_GB2312" w:hAnsi="楷体_GB2312" w:eastAsia="楷体_GB2312" w:cs="楷体_GB2312"/>
          <w:b w:val="0"/>
          <w:bCs w:val="0"/>
          <w:spacing w:val="-1"/>
          <w:sz w:val="32"/>
          <w:szCs w:val="32"/>
          <w:lang w:val="en-US" w:eastAsia="zh-CN"/>
        </w:rPr>
        <w:t>（一）玉舍特色小镇PPP项目概况。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636" w:firstLineChars="200"/>
        <w:textAlignment w:val="baseline"/>
        <w:rPr>
          <w:rFonts w:hint="eastAsia" w:ascii="仿宋_GB2312" w:hAnsi="仿宋_GB2312" w:eastAsia="仿宋_GB2312" w:cs="仿宋_GB2312"/>
          <w:b w:val="0"/>
          <w:bCs w:val="0"/>
          <w:color w:val="auto"/>
          <w:spacing w:val="-1"/>
          <w:sz w:val="32"/>
          <w:szCs w:val="32"/>
          <w:shd w:val="clear" w:color="auto" w:fill="auto"/>
          <w:lang w:val="en-US" w:eastAsia="zh-CN"/>
        </w:rPr>
      </w:pPr>
      <w:r>
        <w:rPr>
          <w:rFonts w:hint="eastAsia" w:ascii="仿宋_GB2312" w:hAnsi="仿宋_GB2312" w:eastAsia="仿宋_GB2312" w:cs="仿宋_GB2312"/>
          <w:b w:val="0"/>
          <w:bCs w:val="0"/>
          <w:color w:val="auto"/>
          <w:spacing w:val="-1"/>
          <w:sz w:val="32"/>
          <w:szCs w:val="32"/>
          <w:shd w:val="clear" w:color="auto" w:fill="auto"/>
          <w:lang w:val="en-US" w:eastAsia="zh-CN"/>
        </w:rPr>
        <w:t>玉舍镇作为贵州省100个示范小城镇之一，住建部公布的全国第二批特色小镇，然而玉舍镇土地利用率不高，相关基础设施还不够完善，旅游配套设施还需提升，鉴于此，依据上述政策文件精神及要求，为加快水城县小城镇的建设，与全国同步实现小康社会，水城县及玉舍政府按照特色鲜明、设施完善、功能齐备、环境优美、宜业宜居、精准扶贫的休闲旅游小镇要求，实施玉舍小城镇建设。</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636" w:firstLineChars="200"/>
        <w:textAlignment w:val="baseline"/>
        <w:rPr>
          <w:rFonts w:hint="eastAsia" w:ascii="仿宋_GB2312" w:hAnsi="仿宋_GB2312" w:eastAsia="仿宋_GB2312" w:cs="仿宋_GB2312"/>
          <w:b w:val="0"/>
          <w:bCs w:val="0"/>
          <w:color w:val="auto"/>
          <w:spacing w:val="-1"/>
          <w:sz w:val="32"/>
          <w:szCs w:val="32"/>
          <w:shd w:val="clear" w:color="auto" w:fill="auto"/>
          <w:lang w:val="en-US" w:eastAsia="zh-CN"/>
        </w:rPr>
      </w:pPr>
      <w:r>
        <w:rPr>
          <w:rFonts w:hint="eastAsia" w:ascii="仿宋_GB2312" w:hAnsi="仿宋_GB2312" w:eastAsia="仿宋_GB2312" w:cs="仿宋_GB2312"/>
          <w:b w:val="0"/>
          <w:bCs w:val="0"/>
          <w:color w:val="auto"/>
          <w:spacing w:val="-1"/>
          <w:sz w:val="32"/>
          <w:szCs w:val="32"/>
          <w:shd w:val="clear" w:color="auto" w:fill="auto"/>
          <w:lang w:val="en-US" w:eastAsia="zh-CN"/>
        </w:rPr>
        <w:t>玉舍特色小镇的总体规划是在注重项目建设的同时，可通过民俗文化、户外运动、休闲农业与旅游项目的创新开发建设，将直接形成多管齐下、梯次推进的旅游扶贫带动效应，实现精准扶贫，带动相关项目周边贫困农民群体实现脱贫致富。待玉舍特色小镇相关拟建设项目建成运营后，在特色小镇基础设施运维、相关旅游产业及旅游产业外延的共同作用下，实现带动当地贫困群体就业、脱贫致富的效应。</w:t>
      </w:r>
    </w:p>
    <w:p>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6" w:firstLineChars="200"/>
        <w:textAlignment w:val="baseline"/>
        <w:rPr>
          <w:rFonts w:hint="eastAsia" w:ascii="楷体_GB2312" w:hAnsi="楷体_GB2312" w:eastAsia="楷体_GB2312" w:cs="楷体_GB2312"/>
          <w:b w:val="0"/>
          <w:bCs w:val="0"/>
          <w:spacing w:val="-1"/>
          <w:sz w:val="32"/>
          <w:szCs w:val="32"/>
          <w:lang w:val="en-US" w:eastAsia="zh-CN"/>
        </w:rPr>
      </w:pPr>
      <w:r>
        <w:rPr>
          <w:rFonts w:hint="eastAsia" w:ascii="楷体_GB2312" w:hAnsi="楷体_GB2312" w:eastAsia="楷体_GB2312" w:cs="楷体_GB2312"/>
          <w:b w:val="0"/>
          <w:bCs w:val="0"/>
          <w:spacing w:val="-1"/>
          <w:sz w:val="32"/>
          <w:szCs w:val="32"/>
          <w:lang w:val="en-US" w:eastAsia="zh-CN"/>
        </w:rPr>
        <w:t>（二）资金使用情况。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636" w:firstLineChars="200"/>
        <w:textAlignment w:val="baseline"/>
        <w:rPr>
          <w:rFonts w:hint="eastAsia" w:ascii="仿宋_GB2312" w:hAnsi="仿宋_GB2312" w:eastAsia="仿宋_GB2312" w:cs="仿宋_GB2312"/>
          <w:b w:val="0"/>
          <w:bCs w:val="0"/>
          <w:color w:val="auto"/>
          <w:spacing w:val="-1"/>
          <w:sz w:val="32"/>
          <w:szCs w:val="32"/>
          <w:shd w:val="clear" w:color="auto" w:fill="auto"/>
          <w:lang w:val="en-US" w:eastAsia="zh-CN"/>
        </w:rPr>
      </w:pPr>
      <w:r>
        <w:rPr>
          <w:rFonts w:hint="eastAsia" w:ascii="仿宋_GB2312" w:hAnsi="仿宋_GB2312" w:eastAsia="仿宋_GB2312" w:cs="仿宋_GB2312"/>
          <w:b w:val="0"/>
          <w:bCs w:val="0"/>
          <w:color w:val="auto"/>
          <w:spacing w:val="-1"/>
          <w:sz w:val="32"/>
          <w:szCs w:val="32"/>
          <w:shd w:val="clear" w:color="auto" w:fill="auto"/>
          <w:lang w:val="en-US" w:eastAsia="zh-CN"/>
        </w:rPr>
        <w:t>截至2021年12月31日前，2021年度总计完成产值8300万元，玉舍镇第二幼儿园、海坪易扶工程连接公路、步行道项目、海坪停车场及配套设施项目、木栈道、公共厕所项目、标识牌含广告牌项目、海坪小火车站售票中心工程、特色村寨及旅游产品加工厂厂房及手工工坊等项目的预算资金为1300万。共获得中央预算内投资资金1300万元，1300万的中央资金已投入建设成本，用于建设镇区幼儿园、镇区范围内污水管线拆改及野玉海景区项目配套工程，年初预算数1300万元（资金文号为黔财建［2019］176号），本年到位数1300万元，本年执行数1300万元。</w:t>
      </w:r>
      <w:r>
        <w:rPr>
          <w:rFonts w:hint="eastAsia" w:ascii="仿宋_GB2312" w:hAnsi="仿宋_GB2312" w:eastAsia="仿宋_GB2312" w:cs="仿宋_GB2312"/>
          <w:b w:val="0"/>
          <w:bCs w:val="0"/>
          <w:color w:val="auto"/>
          <w:spacing w:val="-1"/>
          <w:sz w:val="32"/>
          <w:szCs w:val="32"/>
          <w:shd w:val="clear" w:color="auto" w:fill="auto"/>
          <w:lang w:val="en-US" w:eastAsia="zh-CN"/>
        </w:rPr>
        <w:t>资金执行率100%。</w:t>
      </w:r>
    </w:p>
    <w:p>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6" w:firstLineChars="200"/>
        <w:textAlignment w:val="baseline"/>
        <w:rPr>
          <w:rFonts w:hint="eastAsia" w:ascii="楷体_GB2312" w:hAnsi="楷体_GB2312" w:eastAsia="楷体_GB2312" w:cs="楷体_GB2312"/>
          <w:b w:val="0"/>
          <w:bCs w:val="0"/>
          <w:spacing w:val="-1"/>
          <w:sz w:val="32"/>
          <w:szCs w:val="32"/>
          <w:lang w:val="en-US" w:eastAsia="zh-CN"/>
        </w:rPr>
      </w:pPr>
      <w:r>
        <w:rPr>
          <w:rFonts w:hint="eastAsia" w:ascii="楷体_GB2312" w:hAnsi="楷体_GB2312" w:eastAsia="楷体_GB2312" w:cs="楷体_GB2312"/>
          <w:b w:val="0"/>
          <w:bCs w:val="0"/>
          <w:spacing w:val="-1"/>
          <w:sz w:val="32"/>
          <w:szCs w:val="32"/>
          <w:lang w:val="en-US" w:eastAsia="zh-CN"/>
        </w:rPr>
        <w:t>（三）绩效目标实现情况。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636" w:firstLineChars="200"/>
        <w:jc w:val="both"/>
        <w:textAlignment w:val="baseline"/>
        <w:rPr>
          <w:rFonts w:hint="eastAsia" w:ascii="仿宋_GB2312" w:hAnsi="仿宋_GB2312" w:eastAsia="仿宋_GB2312" w:cs="仿宋_GB2312"/>
          <w:b w:val="0"/>
          <w:bCs w:val="0"/>
          <w:color w:val="auto"/>
          <w:spacing w:val="-1"/>
          <w:sz w:val="32"/>
          <w:szCs w:val="32"/>
          <w:shd w:val="clear" w:color="auto" w:fill="auto"/>
          <w:lang w:val="en-US" w:eastAsia="zh-CN"/>
        </w:rPr>
      </w:pPr>
      <w:r>
        <w:rPr>
          <w:rFonts w:hint="eastAsia" w:ascii="仿宋_GB2312" w:hAnsi="仿宋_GB2312" w:eastAsia="仿宋_GB2312" w:cs="仿宋_GB2312"/>
          <w:b w:val="0"/>
          <w:bCs w:val="0"/>
          <w:color w:val="auto"/>
          <w:spacing w:val="-1"/>
          <w:sz w:val="32"/>
          <w:szCs w:val="32"/>
          <w:shd w:val="clear" w:color="auto" w:fill="auto"/>
          <w:lang w:val="en-US" w:eastAsia="zh-CN"/>
        </w:rPr>
        <w:t>项目建成幼儿园满足了玉舍镇360名幼儿的入学问题；镇区内污水管网改造大大提高了镇区的污水处理能力，为镇区生态环境的提升起到了保障作用；改造完工并投入使用的海坪停车场及配套设施充分为每年彝族火把节的举办提供了场地保障。数量指标、时效指标、成本指标、社会效益指标、生态效益、可持续影响、社会公众或服务对象满意度等各项指标工作均达到预期效果。玉舍特色小镇PPP项目自我评分100分。</w:t>
      </w:r>
    </w:p>
    <w:p>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6" w:firstLineChars="200"/>
        <w:textAlignment w:val="baseline"/>
        <w:rPr>
          <w:rFonts w:hint="eastAsia" w:ascii="楷体_GB2312" w:hAnsi="楷体_GB2312" w:eastAsia="楷体_GB2312" w:cs="楷体_GB2312"/>
          <w:b w:val="0"/>
          <w:bCs w:val="0"/>
          <w:spacing w:val="-1"/>
          <w:sz w:val="32"/>
          <w:szCs w:val="32"/>
          <w:lang w:val="en-US" w:eastAsia="zh-CN"/>
        </w:rPr>
      </w:pPr>
      <w:r>
        <w:rPr>
          <w:rFonts w:hint="eastAsia" w:ascii="楷体_GB2312" w:hAnsi="楷体_GB2312" w:eastAsia="楷体_GB2312" w:cs="楷体_GB2312"/>
          <w:b w:val="0"/>
          <w:bCs w:val="0"/>
          <w:spacing w:val="-1"/>
          <w:sz w:val="32"/>
          <w:szCs w:val="32"/>
          <w:lang w:val="en-US" w:eastAsia="zh-CN"/>
        </w:rPr>
        <w:t>（四）管理情况。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rightChars="0" w:firstLine="636" w:firstLineChars="200"/>
        <w:textAlignment w:val="baseline"/>
        <w:rPr>
          <w:rFonts w:hint="eastAsia" w:ascii="仿宋_GB2312" w:hAnsi="仿宋_GB2312" w:eastAsia="仿宋_GB2312" w:cs="仿宋_GB2312"/>
          <w:b w:val="0"/>
          <w:bCs w:val="0"/>
          <w:color w:val="auto"/>
          <w:spacing w:val="-1"/>
          <w:sz w:val="32"/>
          <w:szCs w:val="32"/>
          <w:shd w:val="clear" w:color="auto" w:fill="auto"/>
          <w:lang w:val="en-US" w:eastAsia="zh-CN"/>
        </w:rPr>
      </w:pPr>
      <w:r>
        <w:rPr>
          <w:rFonts w:hint="eastAsia" w:ascii="仿宋_GB2312" w:hAnsi="仿宋_GB2312" w:eastAsia="仿宋_GB2312" w:cs="仿宋_GB2312"/>
          <w:b w:val="0"/>
          <w:bCs w:val="0"/>
          <w:color w:val="auto"/>
          <w:spacing w:val="-1"/>
          <w:sz w:val="32"/>
          <w:szCs w:val="32"/>
          <w:shd w:val="clear" w:color="auto" w:fill="auto"/>
          <w:lang w:val="en-US" w:eastAsia="zh-CN"/>
        </w:rPr>
        <w:t>自2018年施工开始，截至目前已完工并移交使用的项目有12个、已完工使用但未移交的项目1个、在施项目7个、未施工项目5个</w:t>
      </w:r>
    </w:p>
    <w:p>
      <w:pPr>
        <w:keepNext w:val="0"/>
        <w:keepLines w:val="0"/>
        <w:pageBreakBefore w:val="0"/>
        <w:widowControl/>
        <w:numPr>
          <w:ilvl w:val="0"/>
          <w:numId w:val="0"/>
        </w:numPr>
        <w:tabs>
          <w:tab w:val="left" w:pos="546"/>
        </w:tabs>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 存在问题及原因分析</w:t>
      </w:r>
    </w:p>
    <w:p>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6" w:firstLineChars="200"/>
        <w:textAlignment w:val="baseline"/>
        <w:rPr>
          <w:rFonts w:hint="eastAsia" w:ascii="楷体_GB2312" w:hAnsi="楷体_GB2312" w:eastAsia="楷体_GB2312" w:cs="楷体_GB2312"/>
          <w:b w:val="0"/>
          <w:bCs w:val="0"/>
          <w:spacing w:val="-1"/>
          <w:sz w:val="32"/>
          <w:szCs w:val="32"/>
          <w:lang w:val="en-US" w:eastAsia="zh-CN"/>
        </w:rPr>
      </w:pPr>
      <w:r>
        <w:rPr>
          <w:rFonts w:hint="eastAsia" w:ascii="楷体_GB2312" w:hAnsi="楷体_GB2312" w:eastAsia="楷体_GB2312" w:cs="楷体_GB2312"/>
          <w:b w:val="0"/>
          <w:bCs w:val="0"/>
          <w:spacing w:val="-1"/>
          <w:sz w:val="32"/>
          <w:szCs w:val="32"/>
          <w:lang w:val="en-US" w:eastAsia="zh-CN"/>
        </w:rPr>
        <w:t>（一）已完工使用未移交项目存在问题。</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Chars="0"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水城县第七幼儿园：该项目前期业主单位为城投公司，2018年3月园方入驻使用，后为解决资金问题纳入玉舍PPP项目。因土地存在争议城投公司一直未办理相关手续，导致竣工资料不完备、城投公司与原监理公司未签订合同，工程资料该监理公司未签字，都是该项目未验收的主要原因。</w:t>
      </w:r>
    </w:p>
    <w:p>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6" w:firstLineChars="200"/>
        <w:textAlignment w:val="baseline"/>
        <w:rPr>
          <w:rFonts w:hint="eastAsia" w:ascii="楷体_GB2312" w:hAnsi="楷体_GB2312" w:eastAsia="楷体_GB2312" w:cs="楷体_GB2312"/>
          <w:b w:val="0"/>
          <w:bCs w:val="0"/>
          <w:spacing w:val="-1"/>
          <w:sz w:val="32"/>
          <w:szCs w:val="32"/>
          <w:lang w:val="en-US" w:eastAsia="zh-CN"/>
        </w:rPr>
      </w:pPr>
      <w:r>
        <w:rPr>
          <w:rFonts w:hint="eastAsia" w:ascii="楷体_GB2312" w:hAnsi="楷体_GB2312" w:eastAsia="楷体_GB2312" w:cs="楷体_GB2312"/>
          <w:b w:val="0"/>
          <w:bCs w:val="0"/>
          <w:spacing w:val="-1"/>
          <w:sz w:val="32"/>
          <w:szCs w:val="32"/>
          <w:lang w:val="en-US" w:eastAsia="zh-CN"/>
        </w:rPr>
        <w:t>（二）在施项目存在问题。</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核心区连接道路：现已完成除标尾以外的下面层摊铺及绿化，剩余人行步道、亮化工程正在施工中。因标尾房屋拆迁资金量大，目前未能贯通。预计2022年1月25日完成现有工作面所有工程，如标尾拆迁完后需增加20日方可完成剩余部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因该道路原设计方案、图纸为连接S212公路，现因征拆资金问题无法贯通，需要明确该道路标尾段是否拆迁。</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2、医院连接道路：因现场土地征拆遗留问题，村民经常性阻工，导致该项目工期延长。施工单位目前已完成路基工程，剩余路面未施工。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需由玉舍镇政府与村民协商解决该问题，剩余工程施工工期为69日。</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河道综合整治：现已完成污水主管网、河道清淤工程、防洪工程。剩余景观工程跨河人行小桥9座、人行步道剩余40%、绿化未施工，未完成部分现由于征拆资金问题已停工。因征拆资金未按时间发放村民账户，造成村民集体堵工，经政府多次协调无果，导致项目不得不暂停。</w:t>
      </w:r>
    </w:p>
    <w:p>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6" w:firstLineChars="200"/>
        <w:textAlignment w:val="baseline"/>
        <w:rPr>
          <w:rFonts w:hint="eastAsia" w:ascii="楷体_GB2312" w:hAnsi="楷体_GB2312" w:eastAsia="楷体_GB2312" w:cs="楷体_GB2312"/>
          <w:b w:val="0"/>
          <w:bCs w:val="0"/>
          <w:spacing w:val="-1"/>
          <w:sz w:val="32"/>
          <w:szCs w:val="32"/>
          <w:lang w:val="en-US" w:eastAsia="zh-CN"/>
        </w:rPr>
      </w:pPr>
      <w:r>
        <w:rPr>
          <w:rFonts w:hint="eastAsia" w:ascii="楷体_GB2312" w:hAnsi="楷体_GB2312" w:eastAsia="楷体_GB2312" w:cs="楷体_GB2312"/>
          <w:b w:val="0"/>
          <w:bCs w:val="0"/>
          <w:spacing w:val="-1"/>
          <w:sz w:val="32"/>
          <w:szCs w:val="32"/>
          <w:lang w:val="en-US" w:eastAsia="zh-CN"/>
        </w:rPr>
        <w:t>（三）未施工项目存在问题。</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1、停车场及公共交通停靠站：因现场征拆资金过大，已缩小用地面积，避开部分现有房屋，设计方案已调整完毕。我单位审核同意后实施，施工工期为150天。</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索玛大道通上寨道路改造项目（索玛1、2、3号线）该项目原建设单位为交通局，道路全长约8.8KM，为2013年旅发大会配套项目，因工期压缩且为“三边工程”，存在质量问题。经SPV公司委托第三方检测机构检测，该道路90%以上质量不符标准，病害严重。目前设计单位施工图已通过专家评审，等待进场施工。由于原道路未组织竣工验收，我单位需协调交通局完善该项目竣工移交手续后，施工单位方可进场施工，该项目施工工期170天。</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迎宾大道（玉舍镇大田至老凹营公路改扩建工程）：该道路原建设单位为交通局，现状已实施部分路基、边坡支护等分部工程。后续因资金短缺问题纳入玉舍特色小镇PPP项目。目前建设单位已启动该项目前期工作。施工现场存在两段房屋未征拆，已影响道路宽度，已征拆房屋剩余的尾款也尚未结清。且原建设单位与原施工单位未办理验收及结算。建设单位目前已组织施工、设计单位对施工现场进行反复踏勘，由于原施工单位与施工方施工存在交叉界面，施工单位需复核现状地形，在对该道路进行控制点复核时，发现施工现场变化较大，交通局提供全线控制点无法找到，目前已影响设计单位工作任务。为便于施工方顺利进场施工，交通局应尽快与原施工单位办理验收移交手续及支付征拆费用。该项目施工工期170天。</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4、垃圾中转站：目前该项目未选址，无法开展后续设计及施工工作。待我局组织各单位进行现场选址工作后确认项目建设地点。该项目施工工期170天。</w:t>
      </w:r>
    </w:p>
    <w:p>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6" w:firstLineChars="200"/>
        <w:textAlignment w:val="baseline"/>
        <w:rPr>
          <w:rFonts w:hint="eastAsia" w:ascii="楷体_GB2312" w:hAnsi="楷体_GB2312" w:eastAsia="楷体_GB2312" w:cs="楷体_GB2312"/>
          <w:b w:val="0"/>
          <w:bCs w:val="0"/>
          <w:spacing w:val="-1"/>
          <w:sz w:val="32"/>
          <w:szCs w:val="32"/>
          <w:lang w:val="en-US" w:eastAsia="zh-CN"/>
        </w:rPr>
      </w:pPr>
      <w:r>
        <w:rPr>
          <w:rFonts w:hint="eastAsia" w:ascii="楷体_GB2312" w:hAnsi="楷体_GB2312" w:eastAsia="楷体_GB2312" w:cs="楷体_GB2312"/>
          <w:b w:val="0"/>
          <w:bCs w:val="0"/>
          <w:spacing w:val="-1"/>
          <w:sz w:val="32"/>
          <w:szCs w:val="32"/>
          <w:lang w:val="en-US" w:eastAsia="zh-CN"/>
        </w:rPr>
        <w:t>（四）土地手续问题。</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Chars="0"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玉舍PPP项目共有11个项目需要办理用地手续，该项目土地全部采用划拨方式，由水城区政府划拨至水城区住房和城乡建设局。土地手续问题一直无法有效推进。</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1、截至2021年底，有用地批次指标、符合办理手续的项目共4项：玉舍镇第二幼儿园、农贸市场（农产品交易中心）、核心区连接道路、停车场及公共交通停靠站。</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2、符合规划但需协调用地批次的项目共6项：帕斯谷停车场、索玛停车场、小火车站售票中心、勺米派出所、坪寨派出所、医院连接道路。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符合规划但需协调解决土地争议的项目1项：水城县第七幼儿园。目前已办理选址意见书的项目共7项：玉舍镇第二幼儿园、农贸市场（农产品交易中心）、核心区连接道路、停车场及公共交通停靠站、帕斯谷停车场、索玛停车场、小火车站售票中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目前剩余划拨手续、建设用地规划许可证、建设工程规划许可证未办理，导致玉舍PPP项目一直无法办理施工许可证。项目管理公司办理相关土地手续经验不足，专业性不强，基本无法推进该工作。建议由城投公司或我局办理，恳请区政府协调自然资源局开启绿色通道，政府各部门之间利于沟通协作，我单位协助办理。</w:t>
      </w:r>
    </w:p>
    <w:p>
      <w:pPr>
        <w:keepNext w:val="0"/>
        <w:keepLines w:val="0"/>
        <w:pageBreakBefore w:val="0"/>
        <w:widowControl/>
        <w:kinsoku w:val="0"/>
        <w:wordWrap/>
        <w:overflowPunct/>
        <w:topLinePunct w:val="0"/>
        <w:autoSpaceDE w:val="0"/>
        <w:autoSpaceDN w:val="0"/>
        <w:bidi w:val="0"/>
        <w:adjustRightInd w:val="0"/>
        <w:snapToGrid w:val="0"/>
        <w:spacing w:line="600" w:lineRule="exact"/>
        <w:ind w:right="0" w:firstLine="636" w:firstLineChars="200"/>
        <w:textAlignment w:val="baseline"/>
        <w:rPr>
          <w:rFonts w:hint="eastAsia" w:ascii="楷体_GB2312" w:hAnsi="楷体_GB2312" w:eastAsia="楷体_GB2312" w:cs="楷体_GB2312"/>
          <w:b w:val="0"/>
          <w:bCs w:val="0"/>
          <w:spacing w:val="-1"/>
          <w:sz w:val="32"/>
          <w:szCs w:val="32"/>
          <w:lang w:val="en-US" w:eastAsia="zh-CN"/>
        </w:rPr>
      </w:pPr>
      <w:r>
        <w:rPr>
          <w:rFonts w:hint="eastAsia" w:ascii="楷体_GB2312" w:hAnsi="楷体_GB2312" w:eastAsia="楷体_GB2312" w:cs="楷体_GB2312"/>
          <w:b w:val="0"/>
          <w:bCs w:val="0"/>
          <w:spacing w:val="-1"/>
          <w:sz w:val="32"/>
          <w:szCs w:val="32"/>
          <w:lang w:val="en-US" w:eastAsia="zh-CN"/>
        </w:rPr>
        <w:t>（五）询价问题。</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Chars="0"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玉舍特色小镇PPP项目存在部分材料需进行询价，经项目管理公司与我局、城投公司、审计单位等进行多轮沟通，已将询价大体流程及参与单位等确定，询价报告、询价清单等已报送至我局。</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我局近期计划组织各参与询价单位召开询价会议，明确询价其他所需资料，推进询价进度，以便项目管理公司能将实际完成产值进行正常计价。</w:t>
      </w:r>
    </w:p>
    <w:p>
      <w:pPr>
        <w:keepNext w:val="0"/>
        <w:keepLines w:val="0"/>
        <w:pageBreakBefore w:val="0"/>
        <w:widowControl/>
        <w:numPr>
          <w:ilvl w:val="0"/>
          <w:numId w:val="0"/>
        </w:numPr>
        <w:tabs>
          <w:tab w:val="left" w:pos="546"/>
        </w:tabs>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三、针对问题提出的整改措施</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针对问题一：</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目前，</w:t>
      </w:r>
      <w:r>
        <w:rPr>
          <w:rFonts w:hint="eastAsia" w:ascii="楷体_GB2312" w:hAnsi="楷体_GB2312" w:eastAsia="楷体_GB2312" w:cs="楷体_GB2312"/>
          <w:b w:val="0"/>
          <w:bCs w:val="0"/>
          <w:spacing w:val="-1"/>
          <w:sz w:val="32"/>
          <w:szCs w:val="32"/>
          <w:lang w:val="en-US" w:eastAsia="zh-CN"/>
        </w:rPr>
        <w:t>项目</w:t>
      </w:r>
      <w:r>
        <w:rPr>
          <w:rFonts w:hint="eastAsia" w:ascii="仿宋_GB2312" w:hAnsi="仿宋_GB2312" w:eastAsia="仿宋_GB2312" w:cs="仿宋_GB2312"/>
          <w:b w:val="0"/>
          <w:bCs w:val="0"/>
          <w:sz w:val="32"/>
          <w:szCs w:val="32"/>
          <w:lang w:val="en-US" w:eastAsia="zh-CN"/>
        </w:rPr>
        <w:t>管理公司正与该监理单位负责人协商签订承继合同，为下一步验收移交做准备工作。需要请城投公司解决前期土地争议问题，配合项目管理公司完善监理合同。</w:t>
      </w:r>
    </w:p>
    <w:p>
      <w:pPr>
        <w:keepNext w:val="0"/>
        <w:keepLines w:val="0"/>
        <w:pageBreakBefore w:val="0"/>
        <w:widowControl/>
        <w:numPr>
          <w:ilvl w:val="0"/>
          <w:numId w:val="0"/>
        </w:numPr>
        <w:tabs>
          <w:tab w:val="left" w:pos="546"/>
        </w:tabs>
        <w:kinsoku w:val="0"/>
        <w:wordWrap/>
        <w:overflowPunct/>
        <w:topLinePunct w:val="0"/>
        <w:autoSpaceDE w:val="0"/>
        <w:autoSpaceDN w:val="0"/>
        <w:bidi w:val="0"/>
        <w:adjustRightInd w:val="0"/>
        <w:snapToGrid w:val="0"/>
        <w:spacing w:line="600" w:lineRule="exact"/>
        <w:ind w:right="0" w:firstLine="640" w:firstLineChars="200"/>
        <w:textAlignment w:val="baseline"/>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四、其他需说明的情况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Chars="0"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2022年玉舍特色小镇PPP项目预计6月底全部完工，按照截止到2021年的产值计算，项目管理公司已上报我局预算金额为4503.59万元。如2022年6月全部完工，回购款将达到12343.32万元。恳请区政府对该款项的支付进行确认，并计入2022年财政预算。</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00" w:lineRule="exact"/>
        <w:ind w:leftChars="0" w:right="0" w:firstLine="640" w:firstLineChars="200"/>
        <w:textAlignment w:val="baseline"/>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二）因银行贷款资金的使用，需要项目提供与土地相关的一系列手续。目前本项目的土地手续一直不完备，也可能会影响后续贷款资金的投放和使用。需要请政府加大力度尽快协调解决土地相关手续问题，以确保该项目的贷款资金可以顺利投放和使用。</w:t>
      </w:r>
    </w:p>
    <w:p>
      <w:pPr>
        <w:pStyle w:val="2"/>
        <w:rPr>
          <w:rFonts w:hint="eastAsia" w:ascii="仿宋_GB2312" w:hAnsi="仿宋_GB2312" w:eastAsia="仿宋_GB2312" w:cs="仿宋_GB2312"/>
          <w:sz w:val="32"/>
          <w:szCs w:val="32"/>
          <w:lang w:val="en-US" w:eastAsia="zh-CN"/>
        </w:rPr>
      </w:pPr>
    </w:p>
    <w:p>
      <w:pPr>
        <w:pStyle w:val="2"/>
        <w:rPr>
          <w:rFonts w:hint="eastAsia" w:ascii="仿宋_GB2312" w:hAnsi="仿宋_GB2312" w:eastAsia="仿宋_GB2312" w:cs="仿宋_GB2312"/>
          <w:sz w:val="32"/>
          <w:szCs w:val="32"/>
          <w:lang w:val="en-US" w:eastAsia="zh-CN"/>
        </w:rPr>
      </w:pPr>
      <w:bookmarkStart w:id="0" w:name="_GoBack"/>
      <w:bookmarkEnd w:id="0"/>
    </w:p>
    <w:p>
      <w:pPr>
        <w:pStyle w:val="2"/>
        <w:rPr>
          <w:rFonts w:hint="eastAsia" w:ascii="仿宋_GB2312" w:hAnsi="仿宋_GB2312" w:eastAsia="仿宋_GB2312" w:cs="仿宋_GB2312"/>
          <w:sz w:val="32"/>
          <w:szCs w:val="32"/>
          <w:lang w:val="en-US" w:eastAsia="zh-CN"/>
        </w:rPr>
      </w:pPr>
    </w:p>
    <w:p>
      <w:pPr>
        <w:pStyle w:val="2"/>
        <w:ind w:firstLine="5760" w:firstLineChars="1800"/>
        <w:rPr>
          <w:rFonts w:hint="eastAsia" w:ascii="仿宋_GB2312" w:hAnsi="仿宋_GB2312" w:eastAsia="仿宋_GB2312" w:cs="仿宋_GB2312"/>
          <w:sz w:val="32"/>
          <w:szCs w:val="32"/>
          <w:lang w:val="en-US" w:eastAsia="zh-CN"/>
        </w:rPr>
      </w:pPr>
    </w:p>
    <w:p>
      <w:pPr>
        <w:pStyle w:val="2"/>
        <w:ind w:firstLine="5120" w:firstLineChars="1600"/>
        <w:rPr>
          <w:rFonts w:hint="eastAsia" w:ascii="仿宋_GB2312" w:hAnsi="仿宋_GB2312" w:eastAsia="仿宋_GB2312" w:cs="仿宋_GB2312"/>
          <w:b w:val="0"/>
          <w:bCs w:val="0"/>
          <w:snapToGrid w:val="0"/>
          <w:color w:val="000000"/>
          <w:kern w:val="0"/>
          <w:sz w:val="32"/>
          <w:szCs w:val="32"/>
          <w:lang w:val="en-US" w:eastAsia="zh-CN"/>
        </w:rPr>
      </w:pPr>
    </w:p>
    <w:p>
      <w:pPr>
        <w:pStyle w:val="2"/>
        <w:ind w:firstLine="3840" w:firstLineChars="1200"/>
        <w:rPr>
          <w:rFonts w:hint="eastAsia" w:ascii="仿宋_GB2312" w:hAnsi="仿宋_GB2312" w:eastAsia="仿宋_GB2312" w:cs="仿宋_GB2312"/>
          <w:b w:val="0"/>
          <w:bCs w:val="0"/>
          <w:snapToGrid w:val="0"/>
          <w:color w:val="000000"/>
          <w:kern w:val="0"/>
          <w:sz w:val="32"/>
          <w:szCs w:val="32"/>
          <w:lang w:val="en-US" w:eastAsia="zh-CN"/>
        </w:rPr>
      </w:pPr>
      <w:r>
        <w:rPr>
          <w:rFonts w:hint="eastAsia" w:ascii="仿宋_GB2312" w:hAnsi="仿宋_GB2312" w:eastAsia="仿宋_GB2312" w:cs="仿宋_GB2312"/>
          <w:b w:val="0"/>
          <w:bCs w:val="0"/>
          <w:snapToGrid w:val="0"/>
          <w:color w:val="000000"/>
          <w:kern w:val="0"/>
          <w:sz w:val="32"/>
          <w:szCs w:val="32"/>
          <w:lang w:val="en-US" w:eastAsia="zh-CN"/>
        </w:rPr>
        <w:t>六盘水市水城区住房和城乡建设局</w:t>
      </w:r>
    </w:p>
    <w:p>
      <w:pPr>
        <w:pStyle w:val="2"/>
        <w:ind w:firstLine="5120" w:firstLineChars="1600"/>
        <w:rPr>
          <w:rFonts w:hint="default" w:ascii="仿宋_GB2312" w:hAnsi="仿宋_GB2312" w:eastAsia="仿宋_GB2312" w:cs="仿宋_GB2312"/>
          <w:b w:val="0"/>
          <w:bCs w:val="0"/>
          <w:snapToGrid w:val="0"/>
          <w:color w:val="000000"/>
          <w:kern w:val="0"/>
          <w:sz w:val="32"/>
          <w:szCs w:val="32"/>
          <w:lang w:val="en-US" w:eastAsia="zh-CN"/>
        </w:rPr>
      </w:pPr>
      <w:r>
        <w:rPr>
          <w:rFonts w:hint="eastAsia" w:ascii="仿宋_GB2312" w:hAnsi="仿宋_GB2312" w:eastAsia="仿宋_GB2312" w:cs="仿宋_GB2312"/>
          <w:b w:val="0"/>
          <w:bCs w:val="0"/>
          <w:snapToGrid w:val="0"/>
          <w:color w:val="000000"/>
          <w:kern w:val="0"/>
          <w:sz w:val="32"/>
          <w:szCs w:val="32"/>
          <w:lang w:val="en-US" w:eastAsia="zh-CN"/>
        </w:rPr>
        <w:t>2022年1月24日</w:t>
      </w:r>
    </w:p>
    <w:sectPr>
      <w:pgSz w:w="11906" w:h="16838"/>
      <w:pgMar w:top="2098" w:right="1474" w:bottom="1984"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kOTU2N2E2OGQ3YjVkYTEwOWNkMGVhYjQ0ODEzMjEifQ=="/>
  </w:docVars>
  <w:rsids>
    <w:rsidRoot w:val="69AD6BC3"/>
    <w:rsid w:val="028547BB"/>
    <w:rsid w:val="08CC60BA"/>
    <w:rsid w:val="112453F4"/>
    <w:rsid w:val="1187734B"/>
    <w:rsid w:val="12025F44"/>
    <w:rsid w:val="12E317BF"/>
    <w:rsid w:val="13394A5B"/>
    <w:rsid w:val="136059F6"/>
    <w:rsid w:val="1FB13280"/>
    <w:rsid w:val="201B2639"/>
    <w:rsid w:val="228F6446"/>
    <w:rsid w:val="23DB1186"/>
    <w:rsid w:val="23F45DF8"/>
    <w:rsid w:val="29345F99"/>
    <w:rsid w:val="2CDE6947"/>
    <w:rsid w:val="2D904FFA"/>
    <w:rsid w:val="2DEA42C2"/>
    <w:rsid w:val="38325D99"/>
    <w:rsid w:val="3ACF5B21"/>
    <w:rsid w:val="3C3A25C9"/>
    <w:rsid w:val="3C601127"/>
    <w:rsid w:val="417D62D7"/>
    <w:rsid w:val="457C4AF8"/>
    <w:rsid w:val="4A6D6F47"/>
    <w:rsid w:val="4C654DF6"/>
    <w:rsid w:val="4EB91145"/>
    <w:rsid w:val="52947330"/>
    <w:rsid w:val="53E421E6"/>
    <w:rsid w:val="53ED09E7"/>
    <w:rsid w:val="55615561"/>
    <w:rsid w:val="59C77451"/>
    <w:rsid w:val="5BF00CE6"/>
    <w:rsid w:val="5F417BB6"/>
    <w:rsid w:val="6090016D"/>
    <w:rsid w:val="658B0713"/>
    <w:rsid w:val="68D60B26"/>
    <w:rsid w:val="698A455E"/>
    <w:rsid w:val="69AD6BC3"/>
    <w:rsid w:val="6A973269"/>
    <w:rsid w:val="6BBD56EF"/>
    <w:rsid w:val="6C1C0317"/>
    <w:rsid w:val="6DB91902"/>
    <w:rsid w:val="6E5D3464"/>
    <w:rsid w:val="700A7C77"/>
    <w:rsid w:val="78CC4E73"/>
    <w:rsid w:val="7D0C7F34"/>
    <w:rsid w:val="7F4A7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公1"/>
    <w:basedOn w:val="1"/>
    <w:next w:val="3"/>
    <w:qFormat/>
    <w:uiPriority w:val="0"/>
    <w:pPr>
      <w:ind w:firstLine="200" w:firstLineChars="200"/>
    </w:pPr>
    <w:rPr>
      <w:szCs w:val="24"/>
    </w:rPr>
  </w:style>
  <w:style w:type="paragraph" w:styleId="3">
    <w:name w:val="header"/>
    <w:basedOn w:val="1"/>
    <w:next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3060</Words>
  <Characters>3193</Characters>
  <Lines>0</Lines>
  <Paragraphs>0</Paragraphs>
  <TotalTime>50</TotalTime>
  <ScaleCrop>false</ScaleCrop>
  <LinksUpToDate>false</LinksUpToDate>
  <CharactersWithSpaces>3195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2022-01-07T02:44:00Z</dcterms:created>
  <dc:creator>琉璃青玉阙</dc:creator>
  <cp:lastModifiedBy>biu~จุ๊บ</cp:lastModifiedBy>
  <cp:lastPrinted>2022-01-07T03:01:00Z</cp:lastPrinted>
  <dcterms:modified xsi:type="dcterms:W3CDTF">2022-09-16T07:25:24Z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218AF182CD724585BBA6F7DCB343220E</vt:lpwstr>
  </property>
</Properties>
</file>