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ind w:leftChars="0"/>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六盘水市水城区住房和城乡建设局</w:t>
      </w:r>
    </w:p>
    <w:p>
      <w:pPr>
        <w:keepNext w:val="0"/>
        <w:keepLines w:val="0"/>
        <w:pageBreakBefore w:val="0"/>
        <w:widowControl w:val="0"/>
        <w:kinsoku/>
        <w:wordWrap/>
        <w:overflowPunct/>
        <w:topLinePunct w:val="0"/>
        <w:autoSpaceDE/>
        <w:autoSpaceDN/>
        <w:bidi w:val="0"/>
        <w:adjustRightInd/>
        <w:spacing w:line="600" w:lineRule="exact"/>
        <w:ind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部门整体支出绩效自评报告</w:t>
      </w:r>
    </w:p>
    <w:p>
      <w:pPr>
        <w:keepNext w:val="0"/>
        <w:keepLines w:val="0"/>
        <w:pageBreakBefore w:val="0"/>
        <w:widowControl w:val="0"/>
        <w:kinsoku/>
        <w:wordWrap/>
        <w:overflowPunct/>
        <w:topLinePunct w:val="0"/>
        <w:autoSpaceDE/>
        <w:autoSpaceDN/>
        <w:bidi w:val="0"/>
        <w:adjustRightInd/>
        <w:spacing w:line="600" w:lineRule="exact"/>
        <w:ind w:leftChars="0" w:firstLine="600" w:firstLineChars="200"/>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（一）部门机构设置情况</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机构设置及职能：我单位为行政单位，机构设置情况具体如下：</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内设</w:t>
      </w:r>
      <w:r>
        <w:rPr>
          <w:rFonts w:hint="eastAsia" w:ascii="仿宋_GB2312" w:hAnsi="仿宋_GB2312" w:eastAsia="仿宋_GB2312" w:cs="仿宋_GB2312"/>
          <w:sz w:val="32"/>
          <w:szCs w:val="32"/>
          <w:lang w:val="en-US" w:eastAsia="zh-CN"/>
        </w:rPr>
        <w:t>4个股室，分别是：办公室、住房保障与房地产物业管理股（房屋征收与补偿股）、建筑管理股、城乡建设管理股。</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6个所属事业单位，分别是：</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六盘水市水城区棚户区改造服务中心：为全区棚户区改造工作提供服务保障</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六盘水市水城区建设工程综合服务中心：为水城区区域内工程招投标、各建设工程参建方的建筑市场行为及建设工程施工安全、施工质量等工作进行服务</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六盘水市水城区城镇建设服务中心：负责对水城区区域内城镇基础设施建设工作提供服务。</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六盘水市水城区房地产与物业服务中心：负责对水城区区域内房地产与物业的服务内容、收费标准等政策规定动作进行指导，负责全区房地产与物业的统计工作。</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六盘水市水城区房屋征收服务中心：为国有土地上的房屋征收提供咨询服务</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六盘水市水城区建设行业职业技能资格鉴定站（加挂六盘水市水城区设计室）：负责建筑业民工就业培训及教育工作；负责制定建筑业民工教育和培训计划；完成上级业务主管部门安排的技能培训任务</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人员配置及人员构成情况</w:t>
      </w:r>
      <w:r>
        <w:rPr>
          <w:rFonts w:hint="eastAsia" w:ascii="仿宋_GB2312" w:hAnsi="仿宋_GB2312" w:eastAsia="仿宋_GB2312" w:cs="仿宋_GB2312"/>
          <w:sz w:val="32"/>
          <w:szCs w:val="32"/>
          <w:lang w:val="en-US" w:eastAsia="zh-CN"/>
        </w:rPr>
        <w:t>，截止2022年12月31日，实有在职人数75人，其中：行政人员9人，事业人员66人；退休人员36人，离休人员2人。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部门整体支出概况</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2022年整体支出46202万元。</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1.基本支出情况：六盘水市水城区住房和城乡建设局2022年度基本支出预算数1011万元，到位数1011万元，实际执行数1011万元。</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2.项目支出情况：六盘水市水城区住房和城乡建设局2022年度项目支出年初预算数400万元，全年预算数47762万元，实际执行数45191万元。</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主要职能产出情况：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1.棚户区改造项目。</w:t>
      </w:r>
      <w:r>
        <w:rPr>
          <w:rFonts w:hint="eastAsia" w:ascii="仿宋_GB2312" w:hAnsi="仿宋_GB2312" w:eastAsia="仿宋_GB2312" w:cs="仿宋_GB2312"/>
          <w:sz w:val="32"/>
          <w:szCs w:val="32"/>
          <w:lang w:val="en-US" w:eastAsia="zh-CN"/>
        </w:rPr>
        <w:t>本年度，2015年文阁、塔山、朝阳棚户区，2016年塔山、朝阳棚户区等5个项目已建成完工，实现分房。其余项目预计于2023年完成建设任务。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2.水城县城镇污水处理一体化PPP项目。</w:t>
      </w:r>
      <w:r>
        <w:rPr>
          <w:rFonts w:hint="eastAsia" w:ascii="仿宋_GB2312" w:hAnsi="仿宋_GB2312" w:eastAsia="仿宋_GB2312" w:cs="仿宋_GB2312"/>
          <w:sz w:val="32"/>
          <w:szCs w:val="32"/>
          <w:lang w:val="en-US" w:eastAsia="zh-CN"/>
        </w:rPr>
        <w:t>该项目总投资为10.4亿元，目前，以朵、经开区木桥、化乐、都格、阿戛、比德、陡箐、蟠龙、鸡场、米箩、勺米等11座污水处理厂已完成建设并通过环保验收正式商业运行，全区城市污水处理率达98.81%。今年实施8座乡级污水处理厂的建设，完成产值约8724万元，累计完成产值约4.87亿元。</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3.乌蒙大道水城区段建设项目。</w:t>
      </w:r>
      <w:r>
        <w:rPr>
          <w:rFonts w:hint="eastAsia" w:ascii="仿宋_GB2312" w:hAnsi="仿宋_GB2312" w:eastAsia="仿宋_GB2312" w:cs="仿宋_GB2312"/>
          <w:sz w:val="32"/>
          <w:szCs w:val="32"/>
          <w:lang w:val="en-US" w:eastAsia="zh-CN"/>
        </w:rPr>
        <w:t>项目已于8月全面复工，复工以来累计完成投资5950万元，占复工计划投资（6500万元）的91.53%。</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4.城市更新项目。</w:t>
      </w:r>
      <w:r>
        <w:rPr>
          <w:rFonts w:hint="eastAsia" w:ascii="仿宋_GB2312" w:hAnsi="仿宋_GB2312" w:eastAsia="仿宋_GB2312" w:cs="仿宋_GB2312"/>
          <w:sz w:val="32"/>
          <w:szCs w:val="32"/>
          <w:lang w:val="en-US" w:eastAsia="zh-CN"/>
        </w:rPr>
        <w:t>以朵、双水片区雨污管网改造项目、以朵至区政府电缆管沟项目可研报告已编制完成，正在开展项目前期手续办理；塔山体育公园项目实施方案初稿已编制完成正在细化方案。水城区双水城区城市排水防涝（双水河沿岸提升工程）项目一期工程已完成产值约3300万元，由于资金问题现已停工。</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5.玉舍特色小城镇PPP项目。</w:t>
      </w:r>
      <w:r>
        <w:rPr>
          <w:rFonts w:hint="eastAsia" w:ascii="仿宋_GB2312" w:hAnsi="仿宋_GB2312" w:eastAsia="仿宋_GB2312" w:cs="仿宋_GB2312"/>
          <w:sz w:val="32"/>
          <w:szCs w:val="32"/>
          <w:lang w:val="en-US" w:eastAsia="zh-CN"/>
        </w:rPr>
        <w:t>完成玉舍特色小城镇PPP项目的13个子项目建设，项目累计完成投资约51760万元，其中2022年完成产值约2530.88万元；</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6.安全生产工作。一是</w:t>
      </w:r>
      <w:r>
        <w:rPr>
          <w:rFonts w:hint="eastAsia" w:ascii="仿宋_GB2312" w:hAnsi="仿宋_GB2312" w:eastAsia="仿宋_GB2312" w:cs="仿宋_GB2312"/>
          <w:sz w:val="32"/>
          <w:szCs w:val="32"/>
          <w:lang w:val="en-US" w:eastAsia="zh-CN"/>
        </w:rPr>
        <w:t>认真建筑领域安全生产展“打非治违”专项行动，全年共开展建筑施工项目安全生产排查整治326人次，共检查在建项目22个，下达整改通知书38份，提出整改意见219条，已整改212条,7条正在整改中，整改率96.8%。共检查供气企业、用气单位296家次，共查出隐患118条，已整改118条，完成整改率100%。本年度发放（含换证）燃气经营许可证36家；</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认真做好查处案件的移交。共查处和移交综合执法局案件53个，处罚金额894.6975万元。</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7.国务院安委会安全生产帮扶督查反馈问题整改工作。</w:t>
      </w:r>
      <w:r>
        <w:rPr>
          <w:rFonts w:hint="eastAsia" w:ascii="仿宋_GB2312" w:hAnsi="仿宋_GB2312" w:eastAsia="仿宋_GB2312" w:cs="仿宋_GB2312"/>
          <w:sz w:val="32"/>
          <w:szCs w:val="32"/>
          <w:lang w:val="en-US" w:eastAsia="zh-CN"/>
        </w:rPr>
        <w:t>2022年国务院安委会帮扶组对我区城镇燃气安全、消防安全、建筑施工安全等领域开展督导帮扶，其中：城镇燃气安全方面反馈发现问题共计14个，其中诚达商贸公司10个，区直部门4个，截至目前，14个问题均已全部整改完毕；消防安全督导帮扶方面反馈问题共10个，其中涉及住建局领域问题3个，目前3个问题已全部整改结束；建筑和市政工程安全督导帮扶方面反馈问题共计56条，截止56条反馈问题已整全部整改完成。国务院安委会帮扶组反馈问题整改均顺利通过“回头看”验收。</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8.房地产工作。一是</w:t>
      </w:r>
      <w:r>
        <w:rPr>
          <w:rFonts w:hint="eastAsia" w:ascii="仿宋_GB2312" w:hAnsi="仿宋_GB2312" w:eastAsia="仿宋_GB2312" w:cs="仿宋_GB2312"/>
          <w:sz w:val="32"/>
          <w:szCs w:val="32"/>
          <w:lang w:val="en-US" w:eastAsia="zh-CN"/>
        </w:rPr>
        <w:t>2022年共完成建成商住小区29万平方米，截至目前已完成建设29万平方米，完成率100%。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为了降低受房地产市场低迷和疫情原因带来的经济影响，稳步促进房地产业平稳健康可持续发展，通过举办水城区第二届房地产交易会暨“稳增长、促消费”系列活动，8月份房交会召开以来，促进销售住房172套，促进消费约8144.52万元，意向购房登记246套，预计促进消费约11800万元。</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强化工作措施、压实压紧责任，水城区8个“问题楼盘”全部化解完成。</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积极争取国家“保交楼”专项借款政策支持，目前我区已获得国家开发银行两年免息借款3000万元，用于处置盘活水城区烂尾楼盘后续建设。</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9.优化营商环境工作。</w:t>
      </w:r>
      <w:r>
        <w:rPr>
          <w:rFonts w:hint="eastAsia" w:ascii="仿宋_GB2312" w:hAnsi="仿宋_GB2312" w:eastAsia="仿宋_GB2312" w:cs="仿宋_GB2312"/>
          <w:sz w:val="32"/>
          <w:szCs w:val="32"/>
          <w:lang w:val="en-US" w:eastAsia="zh-CN"/>
        </w:rPr>
        <w:t>2022年以来，共办理建设工程招投标发包备案项目8个，依法核发《建筑工程施工许可证》  6份。纳入建筑业总产值统计的水城区本地建筑施工企业共62家，其中新增10家。全面推进六盘水市工程建设审批管理系统网上办事大厅的应用，本年度共有240个事项通过六盘水市工程建设审批管理系统网上办事大厅完成了相关申报和审批。</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10.租赁补贴发放工作。</w:t>
      </w:r>
      <w:r>
        <w:rPr>
          <w:rFonts w:hint="eastAsia" w:ascii="仿宋_GB2312" w:hAnsi="仿宋_GB2312" w:eastAsia="仿宋_GB2312" w:cs="仿宋_GB2312"/>
          <w:sz w:val="32"/>
          <w:szCs w:val="32"/>
          <w:lang w:val="en-US" w:eastAsia="zh-CN"/>
        </w:rPr>
        <w:t>2022年，共发放租赁补贴690户次1991人次， 累计发放补助资金80.2万元。</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11.自建房排查工作。一是</w:t>
      </w:r>
      <w:r>
        <w:rPr>
          <w:rFonts w:hint="eastAsia" w:ascii="仿宋_GB2312" w:hAnsi="仿宋_GB2312" w:eastAsia="仿宋_GB2312" w:cs="仿宋_GB2312"/>
          <w:sz w:val="32"/>
          <w:szCs w:val="32"/>
          <w:lang w:val="en-US" w:eastAsia="zh-CN"/>
        </w:rPr>
        <w:t>全面完成全区自建房排查工作，共盘查自建房总量为158666栋，排查率为100%。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商请贵州建设职业技术学院37名技术力量协助自建房安全专项整治复核评估工作，完成全区30个乡（镇、街道）的7915栋经营性自建房初次复核评估工作任务。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完成158666栋自建房归集信息平台录入工作，录入率为100%。</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按照“边排查、边整治”原则推进排查整治工作，目前录入系统经营性自建房安全隐患整治12栋，整治率为100%，非经营性自建房存在安全隐患的有91栋，已整治89栋，整治率为97.80%。</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12.信访维稳工作。</w:t>
      </w:r>
      <w:r>
        <w:rPr>
          <w:rFonts w:hint="eastAsia" w:ascii="仿宋_GB2312" w:hAnsi="仿宋_GB2312" w:eastAsia="仿宋_GB2312" w:cs="仿宋_GB2312"/>
          <w:sz w:val="32"/>
          <w:szCs w:val="32"/>
          <w:lang w:val="en-US" w:eastAsia="zh-CN"/>
        </w:rPr>
        <w:t>2021年以来，区住建局从各个信访渠道接收信访案件147个，未办结32个，办结率78.2%，未办结案件正在按照程序办理中。</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13.村镇建设工作。一是</w:t>
      </w:r>
      <w:r>
        <w:rPr>
          <w:rFonts w:hint="eastAsia" w:ascii="仿宋_GB2312" w:hAnsi="仿宋_GB2312" w:eastAsia="仿宋_GB2312" w:cs="仿宋_GB2312"/>
          <w:sz w:val="32"/>
          <w:szCs w:val="32"/>
          <w:lang w:val="en-US" w:eastAsia="zh-CN"/>
        </w:rPr>
        <w:t>农危改完成情况。水城区2022年农村危房改造（农房抗震改造）任务共800户，截至目前已全部开工，开工率100%，其中农危改已开工183户，竣工113户；农房抗震改造开工617户，已竣工28户；</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农危改补助资金使用情况。2022年共获得中央危房改造补助资金1181万元，共支出补助资金553.35万元，支出进度47%；</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开展农村住房安全保障动态监测工作。水城区农村低收入群体等重点对象共18371户，现已全部排查完毕；</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开展传统村落保护工作。继续推进花戛乡天门村传统村落保护发展建设；</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开展农村宜居农房建设工作。米箩镇倮么村宜居农房已全面完工且已通过市级层面验收，蟠龙镇百车河试点已完工并进行初步验收。</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二、部门绩效目标设置及决策情况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（一）部门绩效目标和绩效指标设定情况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部门工作整体规划</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住建局以高质量发展为统领，以新型城镇化建设为抓手，着力推进2022年住房和城乡建设领域各项工作稳步发展。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2.年度绩效目标设置。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数量指标（20分）、质量指标（20分）、时效指标（5分）、成本指标（5分）、经济效益（5分）、社会效益（10分）、生态效益（10分）、可持续影响（5分）、服务对象满意度（10分）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3.衡量绩效目标实现程度的评价标准。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2022年各项业务工作完成情况、各项职能实现情况作为评价标准。</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部门决策情况</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1.主要决策内容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重点保障</w:t>
      </w:r>
      <w:r>
        <w:rPr>
          <w:rFonts w:hint="eastAsia" w:ascii="仿宋_GB2312" w:hAnsi="仿宋_GB2312" w:eastAsia="仿宋_GB2312" w:cs="仿宋_GB2312"/>
          <w:sz w:val="32"/>
          <w:szCs w:val="32"/>
          <w:lang w:val="en-US" w:eastAsia="zh-CN"/>
        </w:rPr>
        <w:t>老旧小区改造、棚户区改造、房地产开发、背街小巷改造、城市基础设施建设、招商引资、及其他重大项目建设工作。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决策依据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本年度本单位主要决策依据为：区委区政府发展规划和重点保障项目、本部门</w:t>
      </w:r>
      <w:r>
        <w:rPr>
          <w:rFonts w:hint="eastAsia" w:ascii="仿宋_GB2312" w:hAnsi="仿宋_GB2312" w:eastAsia="仿宋_GB2312" w:cs="仿宋_GB2312"/>
          <w:sz w:val="32"/>
          <w:szCs w:val="32"/>
        </w:rPr>
        <w:t>部门中长期发展规划</w:t>
      </w:r>
      <w:r>
        <w:rPr>
          <w:rFonts w:hint="eastAsia" w:ascii="仿宋_GB2312" w:hAnsi="仿宋_GB2312" w:eastAsia="仿宋_GB2312" w:cs="仿宋_GB2312"/>
          <w:sz w:val="32"/>
          <w:szCs w:val="32"/>
          <w:lang w:eastAsia="zh-CN"/>
        </w:rPr>
        <w:t>和重点保障项目，确保</w:t>
      </w:r>
      <w:r>
        <w:rPr>
          <w:rFonts w:hint="eastAsia" w:ascii="仿宋_GB2312" w:hAnsi="仿宋_GB2312" w:eastAsia="仿宋_GB2312" w:cs="仿宋_GB2312"/>
          <w:sz w:val="32"/>
          <w:szCs w:val="32"/>
        </w:rPr>
        <w:t>主要决策与年度</w:t>
      </w:r>
      <w:r>
        <w:rPr>
          <w:rFonts w:hint="eastAsia" w:ascii="仿宋_GB2312" w:hAnsi="仿宋_GB2312" w:eastAsia="仿宋_GB2312" w:cs="仿宋_GB2312"/>
          <w:sz w:val="32"/>
          <w:szCs w:val="32"/>
          <w:lang w:eastAsia="zh-CN"/>
        </w:rPr>
        <w:t>计划目标</w:t>
      </w:r>
      <w:r>
        <w:rPr>
          <w:rFonts w:hint="eastAsia" w:ascii="仿宋_GB2312" w:hAnsi="仿宋_GB2312" w:eastAsia="仿宋_GB2312" w:cs="仿宋_GB2312"/>
          <w:sz w:val="32"/>
          <w:szCs w:val="32"/>
        </w:rPr>
        <w:t>实现相符。</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三、部门预算、预算执行情况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部门预算编制情况</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年度基本支出预算数</w:t>
      </w:r>
      <w:r>
        <w:rPr>
          <w:rFonts w:hint="eastAsia" w:ascii="仿宋_GB2312" w:hAnsi="仿宋_GB2312" w:eastAsia="仿宋_GB2312" w:cs="仿宋_GB2312"/>
          <w:sz w:val="32"/>
          <w:szCs w:val="32"/>
          <w:lang w:val="en-US" w:eastAsia="zh-CN"/>
        </w:rPr>
        <w:t>1011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项目支出年初预算数</w:t>
      </w:r>
      <w:r>
        <w:rPr>
          <w:rFonts w:hint="eastAsia" w:ascii="仿宋_GB2312" w:hAnsi="仿宋_GB2312" w:eastAsia="仿宋_GB2312" w:cs="仿宋_GB2312"/>
          <w:sz w:val="32"/>
          <w:szCs w:val="32"/>
          <w:lang w:val="en-US" w:eastAsia="zh-CN"/>
        </w:rPr>
        <w:t>47762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（二）部门预算执行情况。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基本支出使用管理情况：年度基本支出预算数</w:t>
      </w:r>
      <w:r>
        <w:rPr>
          <w:rFonts w:hint="eastAsia" w:ascii="仿宋_GB2312" w:hAnsi="仿宋_GB2312" w:eastAsia="仿宋_GB2312" w:cs="仿宋_GB2312"/>
          <w:sz w:val="32"/>
          <w:szCs w:val="32"/>
          <w:lang w:val="en-US" w:eastAsia="zh-CN"/>
        </w:rPr>
        <w:t>1011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到位数</w:t>
      </w:r>
      <w:r>
        <w:rPr>
          <w:rFonts w:hint="eastAsia" w:ascii="仿宋_GB2312" w:hAnsi="仿宋_GB2312" w:eastAsia="仿宋_GB2312" w:cs="仿宋_GB2312"/>
          <w:sz w:val="32"/>
          <w:szCs w:val="32"/>
          <w:lang w:val="en-US" w:eastAsia="zh-CN"/>
        </w:rPr>
        <w:t>1011万元，</w:t>
      </w:r>
      <w:r>
        <w:rPr>
          <w:rFonts w:hint="eastAsia" w:ascii="仿宋_GB2312" w:hAnsi="仿宋_GB2312" w:eastAsia="仿宋_GB2312" w:cs="仿宋_GB2312"/>
          <w:sz w:val="32"/>
          <w:szCs w:val="32"/>
        </w:rPr>
        <w:t>实际执行数</w:t>
      </w:r>
      <w:r>
        <w:rPr>
          <w:rFonts w:hint="eastAsia" w:ascii="仿宋_GB2312" w:hAnsi="仿宋_GB2312" w:eastAsia="仿宋_GB2312" w:cs="仿宋_GB2312"/>
          <w:sz w:val="32"/>
          <w:szCs w:val="32"/>
          <w:lang w:val="en-US" w:eastAsia="zh-CN"/>
        </w:rPr>
        <w:t>1011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，基本与年初持平。我单位在工作中</w:t>
      </w:r>
      <w:r>
        <w:rPr>
          <w:rFonts w:hint="eastAsia" w:ascii="仿宋_GB2312" w:hAnsi="仿宋_GB2312" w:eastAsia="仿宋_GB2312" w:cs="仿宋_GB2312"/>
          <w:sz w:val="32"/>
          <w:szCs w:val="32"/>
        </w:rPr>
        <w:t>严格执行政府会计制度，严格执行与基本支出与有关的相关管理规定，保证单位基本正常运转。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项目支出使用管理情况：项目支出年初预算数</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全年预算数</w:t>
      </w:r>
      <w:r>
        <w:rPr>
          <w:rFonts w:hint="eastAsia" w:ascii="仿宋_GB2312" w:hAnsi="仿宋_GB2312" w:eastAsia="仿宋_GB2312" w:cs="仿宋_GB2312"/>
          <w:sz w:val="32"/>
          <w:szCs w:val="32"/>
          <w:lang w:val="en-US" w:eastAsia="zh-CN"/>
        </w:rPr>
        <w:t>47762万元，</w:t>
      </w:r>
      <w:r>
        <w:rPr>
          <w:rFonts w:hint="eastAsia" w:ascii="仿宋_GB2312" w:hAnsi="仿宋_GB2312" w:eastAsia="仿宋_GB2312" w:cs="仿宋_GB2312"/>
          <w:sz w:val="32"/>
          <w:szCs w:val="32"/>
        </w:rPr>
        <w:t>实际执行数</w:t>
      </w:r>
      <w:r>
        <w:rPr>
          <w:rFonts w:hint="eastAsia" w:ascii="仿宋_GB2312" w:hAnsi="仿宋_GB2312" w:eastAsia="仿宋_GB2312" w:cs="仿宋_GB2312"/>
          <w:sz w:val="32"/>
          <w:szCs w:val="32"/>
          <w:lang w:val="en-US" w:eastAsia="zh-CN"/>
        </w:rPr>
        <w:t>45191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我单位在工作中</w:t>
      </w:r>
      <w:r>
        <w:rPr>
          <w:rFonts w:hint="eastAsia" w:ascii="仿宋_GB2312" w:hAnsi="仿宋_GB2312" w:eastAsia="仿宋_GB2312" w:cs="仿宋_GB2312"/>
          <w:sz w:val="32"/>
          <w:szCs w:val="32"/>
        </w:rPr>
        <w:t>严格执行政府会计制度，严格执行与</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本支出与有关的相关管理规定，保证</w:t>
      </w:r>
      <w:r>
        <w:rPr>
          <w:rFonts w:hint="eastAsia" w:ascii="仿宋_GB2312" w:hAnsi="仿宋_GB2312" w:eastAsia="仿宋_GB2312" w:cs="仿宋_GB2312"/>
          <w:sz w:val="32"/>
          <w:szCs w:val="32"/>
          <w:lang w:eastAsia="zh-CN"/>
        </w:rPr>
        <w:t>各项目正常推进</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3、“三公”经费使用管理情况：严格执行水党办发</w:t>
      </w:r>
      <w:r>
        <w:rPr>
          <w:rFonts w:hint="eastAsia" w:ascii="仿宋_GB2312" w:hAnsi="仿宋_GB2312" w:eastAsia="仿宋_GB2312" w:cs="仿宋_GB2312"/>
          <w:b w:val="0"/>
          <w:bCs w:val="0"/>
          <w:sz w:val="32"/>
          <w:szCs w:val="32"/>
          <w:lang w:val="en-US" w:eastAsia="zh-CN"/>
        </w:rPr>
        <w:t>〔2018〕</w:t>
      </w:r>
      <w:r>
        <w:rPr>
          <w:rFonts w:hint="eastAsia" w:ascii="仿宋_GB2312" w:hAnsi="仿宋_GB2312" w:eastAsia="仿宋_GB2312" w:cs="仿宋_GB2312"/>
          <w:sz w:val="32"/>
          <w:szCs w:val="32"/>
          <w:lang w:val="en-US" w:eastAsia="zh-CN"/>
        </w:rPr>
        <w:t>22文件精神，按照国家相关“三公”经费支出标准，杜绝三公经费范围已外费用支出发生。</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四、部门管理情况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1.预算管理的方式</w:t>
      </w:r>
      <w:r>
        <w:rPr>
          <w:rFonts w:hint="eastAsia" w:ascii="仿宋_GB2312" w:hAnsi="仿宋_GB2312" w:eastAsia="仿宋_GB2312" w:cs="仿宋_GB2312"/>
          <w:sz w:val="32"/>
          <w:szCs w:val="32"/>
          <w:lang w:eastAsia="zh-CN"/>
        </w:rPr>
        <w:t>为全面预算；</w:t>
      </w:r>
      <w:r>
        <w:rPr>
          <w:rFonts w:hint="eastAsia" w:ascii="仿宋_GB2312" w:hAnsi="仿宋_GB2312" w:eastAsia="仿宋_GB2312" w:cs="仿宋_GB2312"/>
          <w:sz w:val="32"/>
          <w:szCs w:val="32"/>
        </w:rPr>
        <w:t>预决算</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w:t>
      </w:r>
      <w:r>
        <w:rPr>
          <w:rFonts w:hint="eastAsia" w:ascii="仿宋_GB2312" w:hAnsi="仿宋_GB2312" w:eastAsia="仿宋_GB2312" w:cs="仿宋_GB2312"/>
          <w:sz w:val="32"/>
          <w:szCs w:val="32"/>
          <w:lang w:eastAsia="zh-CN"/>
        </w:rPr>
        <w:t>国家有关</w:t>
      </w:r>
      <w:r>
        <w:rPr>
          <w:rFonts w:hint="eastAsia" w:ascii="仿宋_GB2312" w:hAnsi="仿宋_GB2312" w:eastAsia="仿宋_GB2312" w:cs="仿宋_GB2312"/>
          <w:sz w:val="32"/>
          <w:szCs w:val="32"/>
        </w:rPr>
        <w:t>资金使用管理</w:t>
      </w:r>
      <w:r>
        <w:rPr>
          <w:rFonts w:hint="eastAsia" w:ascii="仿宋_GB2312" w:hAnsi="仿宋_GB2312" w:eastAsia="仿宋_GB2312" w:cs="仿宋_GB2312"/>
          <w:sz w:val="32"/>
          <w:szCs w:val="32"/>
          <w:lang w:eastAsia="zh-CN"/>
        </w:rPr>
        <w:t>制度；在制度建设方面，我单位制定了《水城区住建局党组会议制度》《水城区住建局局长办公会议制度》《水城区住建局职工会议制度》《水城区住建局考勤制度》《水城区住建局财务管理制度》《水城区住建局车辆管理制度》《水城区住建局办公耗材管理制度》《水城区住建局环境卫生管理制度》《水城区住建局干部约谈制度》《水城区住建局党风廉政建设定期分析研究制度》《水城区住建局定期谈话制度》《水城区住建局任前谈话制度》、《水城区住建局责任制报告制度》《水城区住建局公务接待和职工就餐制度》</w:t>
      </w:r>
      <w:r>
        <w:rPr>
          <w:rFonts w:hint="eastAsia" w:ascii="仿宋_GB2312" w:hAnsi="仿宋_GB2312" w:eastAsia="仿宋_GB2312" w:cs="仿宋_GB2312"/>
          <w:sz w:val="32"/>
          <w:szCs w:val="32"/>
          <w:lang w:val="en-US" w:eastAsia="zh-CN"/>
        </w:rPr>
        <w:t>《六盘水市水城区住房和城乡建设局绩效管理制度》。</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我单位按三定方案划分的职能，对所属</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进行分口管理。</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我单位成立</w:t>
      </w:r>
      <w:r>
        <w:rPr>
          <w:rFonts w:hint="eastAsia" w:ascii="仿宋_GB2312" w:hAnsi="仿宋_GB2312" w:eastAsia="仿宋_GB2312" w:cs="仿宋_GB2312"/>
          <w:sz w:val="32"/>
          <w:szCs w:val="32"/>
        </w:rPr>
        <w:t>绩效管理</w:t>
      </w:r>
      <w:r>
        <w:rPr>
          <w:rFonts w:hint="eastAsia" w:ascii="仿宋_GB2312" w:hAnsi="仿宋_GB2312" w:eastAsia="仿宋_GB2312" w:cs="仿宋_GB2312"/>
          <w:sz w:val="32"/>
          <w:szCs w:val="32"/>
          <w:lang w:eastAsia="zh-CN"/>
        </w:rPr>
        <w:t>工作小组，对单位绩效运行及管理情况进行监控、评价和运用。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12月31日止</w:t>
      </w:r>
      <w:r>
        <w:rPr>
          <w:rFonts w:hint="eastAsia" w:ascii="仿宋_GB2312" w:hAnsi="仿宋_GB2312" w:eastAsia="仿宋_GB2312" w:cs="仿宋_GB2312"/>
          <w:sz w:val="32"/>
          <w:szCs w:val="32"/>
          <w:lang w:eastAsia="zh-CN"/>
        </w:rPr>
        <w:t>，资产总额</w:t>
      </w:r>
      <w:r>
        <w:rPr>
          <w:rFonts w:hint="eastAsia" w:ascii="仿宋_GB2312" w:hAnsi="仿宋_GB2312" w:eastAsia="仿宋_GB2312" w:cs="仿宋_GB2312"/>
          <w:sz w:val="32"/>
          <w:szCs w:val="32"/>
          <w:lang w:val="en-US" w:eastAsia="zh-CN"/>
        </w:rPr>
        <w:t xml:space="preserve">61611万元，其中：流动资产31921万元，占52%；固定资产29691万元，占48%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5.管理情况：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五、部门绩效实现情况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（一）部门产出目标完成情况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本单位产出目标设定分值</w:t>
      </w:r>
      <w:r>
        <w:rPr>
          <w:rFonts w:hint="eastAsia" w:ascii="仿宋_GB2312" w:hAnsi="仿宋_GB2312" w:eastAsia="仿宋_GB2312" w:cs="仿宋_GB2312"/>
          <w:sz w:val="32"/>
          <w:szCs w:val="32"/>
          <w:lang w:val="en-US" w:eastAsia="zh-CN"/>
        </w:rPr>
        <w:t>50分，根据实际完成情况，自评50分，完成率100%。</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（二）部门效果目标实现情况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本单位产出目标设定分值</w:t>
      </w:r>
      <w:r>
        <w:rPr>
          <w:rFonts w:hint="eastAsia" w:ascii="仿宋_GB2312" w:hAnsi="仿宋_GB2312" w:eastAsia="仿宋_GB2312" w:cs="仿宋_GB2312"/>
          <w:sz w:val="32"/>
          <w:szCs w:val="32"/>
          <w:lang w:val="en-US" w:eastAsia="zh-CN"/>
        </w:rPr>
        <w:t>30分，根据实际完成情况，自评29分，完成率93%。</w:t>
      </w:r>
    </w:p>
    <w:p>
      <w:pPr>
        <w:pStyle w:val="2"/>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（三）满意度指标完成情况：</w:t>
      </w:r>
      <w:r>
        <w:rPr>
          <w:rFonts w:hint="eastAsia" w:ascii="仿宋_GB2312" w:hAnsi="仿宋_GB2312" w:eastAsia="仿宋_GB2312" w:cs="仿宋_GB2312"/>
          <w:sz w:val="32"/>
          <w:szCs w:val="32"/>
          <w:lang w:eastAsia="zh-CN"/>
        </w:rPr>
        <w:t>本单位产出目标设定分值</w:t>
      </w:r>
      <w:r>
        <w:rPr>
          <w:rFonts w:hint="eastAsia" w:ascii="仿宋_GB2312" w:hAnsi="仿宋_GB2312" w:eastAsia="仿宋_GB2312" w:cs="仿宋_GB2312"/>
          <w:sz w:val="32"/>
          <w:szCs w:val="32"/>
          <w:lang w:val="en-US" w:eastAsia="zh-CN"/>
        </w:rPr>
        <w:t>10分，根据实际完成情况，自评9分，完成率96%。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绩效目标未完成情况及原因分析</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固定资产利用率指标未完成是因为存在已无使用价值的资产待处置；管理制度健全性部分达成预期指标是因为内控制度制定有待于进一步完善；提升区域形象，营造良好营商环境部分达成预期指标是因为工作质量有待提升；服务对象满意度工作方式及效率还需进一步改善。</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六、主要经验、存在问题和建议</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（一）主要经验</w:t>
      </w:r>
      <w:r>
        <w:rPr>
          <w:rFonts w:hint="eastAsia" w:ascii="楷体_GB2312" w:hAnsi="楷体_GB2312" w:eastAsia="楷体_GB2312" w:cs="楷体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存在的问题</w:t>
      </w:r>
      <w:r>
        <w:rPr>
          <w:rFonts w:hint="eastAsia" w:ascii="楷体_GB2312" w:hAnsi="楷体_GB2312" w:eastAsia="楷体_GB2312" w:cs="楷体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本单位有关绩效管理工作还需进一步强化。</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后续工作计划</w:t>
      </w:r>
      <w:r>
        <w:rPr>
          <w:rFonts w:hint="eastAsia" w:ascii="楷体_GB2312" w:hAnsi="楷体_GB2312" w:eastAsia="楷体_GB2312" w:cs="楷体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进一步推进单位的绩效管理相关工作。</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相关建议</w:t>
      </w:r>
      <w:r>
        <w:rPr>
          <w:rFonts w:hint="eastAsia" w:ascii="楷体_GB2312" w:hAnsi="楷体_GB2312" w:eastAsia="楷体_GB2312" w:cs="楷体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其他需要说明情况</w:t>
      </w:r>
    </w:p>
    <w:p>
      <w:pPr>
        <w:pStyle w:val="4"/>
        <w:keepNext w:val="0"/>
        <w:keepLines w:val="0"/>
        <w:pageBreakBefore w:val="0"/>
        <w:widowControl w:val="0"/>
        <w:kinsoku/>
        <w:wordWrap/>
        <w:overflowPunct/>
        <w:topLinePunct w:val="0"/>
        <w:autoSpaceDE/>
        <w:autoSpaceDN/>
        <w:bidi w:val="0"/>
        <w:adjustRightInd/>
        <w:spacing w:line="600" w:lineRule="exact"/>
        <w:ind w:leftChars="0"/>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C4B87A-AFDC-49FE-B6BF-02970152D7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7DF02F30-9F2A-4509-9072-7791352DC473}"/>
  </w:font>
  <w:font w:name="楷体_GB2312">
    <w:altName w:val="楷体"/>
    <w:panose1 w:val="02010609030101010101"/>
    <w:charset w:val="86"/>
    <w:family w:val="auto"/>
    <w:pitch w:val="default"/>
    <w:sig w:usb0="00000000" w:usb1="00000000" w:usb2="00000000" w:usb3="00000000" w:csb0="00040000" w:csb1="00000000"/>
    <w:embedRegular r:id="rId3" w:fontKey="{2534176B-636A-467C-8BCA-DAD09BF46CCF}"/>
  </w:font>
  <w:font w:name="仿宋_GB2312">
    <w:altName w:val="仿宋"/>
    <w:panose1 w:val="02010609030101010101"/>
    <w:charset w:val="86"/>
    <w:family w:val="auto"/>
    <w:pitch w:val="default"/>
    <w:sig w:usb0="00000000" w:usb1="00000000" w:usb2="00000000" w:usb3="00000000" w:csb0="00040000" w:csb1="00000000"/>
    <w:embedRegular r:id="rId4" w:fontKey="{487C618E-3663-4DA6-B8D8-AF270BCF295F}"/>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mZjZjEzYTIyZTc4ZTJlNDNiNGFhYjA1NWRkZGUifQ=="/>
    <w:docVar w:name="KSO_WPS_MARK_KEY" w:val="53dd7fbf-3f12-4481-9bb4-8c547eaea0d3"/>
  </w:docVars>
  <w:rsids>
    <w:rsidRoot w:val="00000000"/>
    <w:rsid w:val="024F0999"/>
    <w:rsid w:val="07E56FB6"/>
    <w:rsid w:val="082420C5"/>
    <w:rsid w:val="08485755"/>
    <w:rsid w:val="09717ADB"/>
    <w:rsid w:val="0BA223CB"/>
    <w:rsid w:val="1AEC1A3E"/>
    <w:rsid w:val="1B625942"/>
    <w:rsid w:val="219B33E3"/>
    <w:rsid w:val="274513C0"/>
    <w:rsid w:val="2A1A7AEB"/>
    <w:rsid w:val="2CD8116E"/>
    <w:rsid w:val="33A97033"/>
    <w:rsid w:val="34625DDA"/>
    <w:rsid w:val="356F1D0C"/>
    <w:rsid w:val="3C9368AF"/>
    <w:rsid w:val="442A1986"/>
    <w:rsid w:val="4A503533"/>
    <w:rsid w:val="4C28043B"/>
    <w:rsid w:val="4C500455"/>
    <w:rsid w:val="4E3E2D7A"/>
    <w:rsid w:val="57271B3D"/>
    <w:rsid w:val="59253503"/>
    <w:rsid w:val="5C6924A0"/>
    <w:rsid w:val="5EB251A5"/>
    <w:rsid w:val="661F25B4"/>
    <w:rsid w:val="6793177F"/>
    <w:rsid w:val="67937401"/>
    <w:rsid w:val="6CFD104A"/>
    <w:rsid w:val="6E1F2815"/>
    <w:rsid w:val="77A527A2"/>
    <w:rsid w:val="77C92068"/>
    <w:rsid w:val="7FA64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pPr>
    <w:rPr>
      <w:rFonts w:ascii="Calibri"/>
      <w:kern w:val="0"/>
      <w:szCs w:val="20"/>
    </w:rPr>
  </w:style>
  <w:style w:type="paragraph" w:customStyle="1" w:styleId="3">
    <w:name w:val="正文1"/>
    <w:basedOn w:val="1"/>
    <w:next w:val="2"/>
    <w:qFormat/>
    <w:uiPriority w:val="0"/>
    <w:pPr>
      <w:ind w:firstLine="200" w:firstLineChars="200"/>
    </w:p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4111</Words>
  <Characters>4474</Characters>
  <Lines>0</Lines>
  <Paragraphs>0</Paragraphs>
  <TotalTime>193</TotalTime>
  <ScaleCrop>false</ScaleCrop>
  <LinksUpToDate>false</LinksUpToDate>
  <CharactersWithSpaces>4478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十点以后的声音</cp:lastModifiedBy>
  <cp:lastPrinted>2023-05-09T02:31:00Z</cp:lastPrinted>
  <dcterms:modified xsi:type="dcterms:W3CDTF">2023-11-09T01:18:04Z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81BC983ADB864468876379F7C227E5AA_13</vt:lpwstr>
  </property>
</Properties>
</file>