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0" w:firstLineChars="0"/>
        <w:jc w:val="center"/>
        <w:rPr>
          <w:rFonts w:ascii="方正小标宋简体" w:hAnsi="方正小标宋简体" w:eastAsia="方正小标宋简体" w:cs="方正小标宋简体"/>
          <w:b/>
          <w:sz w:val="36"/>
          <w:szCs w:val="36"/>
        </w:rPr>
      </w:pPr>
      <w:bookmarkStart w:id="0" w:name="_Hlk60053869"/>
      <w:r>
        <w:rPr>
          <w:rFonts w:hint="eastAsia" w:ascii="方正小标宋简体" w:hAnsi="方正小标宋简体" w:eastAsia="方正小标宋简体" w:cs="方正小标宋简体"/>
          <w:b/>
          <w:sz w:val="36"/>
          <w:szCs w:val="36"/>
        </w:rPr>
        <w:t>六盘水市水城区</w:t>
      </w:r>
      <w:bookmarkStart w:id="1" w:name="_Hlk59388731"/>
      <w:r>
        <w:rPr>
          <w:rFonts w:hint="eastAsia" w:ascii="方正小标宋简体" w:hAnsi="方正小标宋简体" w:eastAsia="方正小标宋简体" w:cs="方正小标宋简体"/>
          <w:b/>
          <w:sz w:val="36"/>
          <w:szCs w:val="36"/>
        </w:rPr>
        <w:t>国民经济和社会发展</w:t>
      </w:r>
    </w:p>
    <w:p>
      <w:pPr>
        <w:spacing w:line="800" w:lineRule="exact"/>
        <w:ind w:firstLine="0" w:firstLineChars="0"/>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第十四个五年规划和二〇三五年远景目标纲要</w:t>
      </w:r>
    </w:p>
    <w:bookmarkEnd w:id="0"/>
    <w:bookmarkEnd w:id="1"/>
    <w:p>
      <w:pPr>
        <w:ind w:firstLine="640"/>
      </w:pPr>
    </w:p>
    <w:p>
      <w:pPr>
        <w:ind w:firstLine="640"/>
      </w:pPr>
      <w:bookmarkStart w:id="2" w:name="_Hlk50376430"/>
      <w:r>
        <w:rPr>
          <w:rFonts w:hint="eastAsia"/>
        </w:rPr>
        <w:t>水城区国民经济和社会发展第十四个五年规划和二</w:t>
      </w:r>
      <w:r>
        <w:rPr>
          <w:rFonts w:hint="eastAsia" w:ascii="微软雅黑" w:hAnsi="微软雅黑" w:eastAsia="微软雅黑" w:cs="微软雅黑"/>
        </w:rPr>
        <w:t>〇</w:t>
      </w:r>
      <w:r>
        <w:rPr>
          <w:rFonts w:hint="eastAsia"/>
        </w:rPr>
        <w:t>三五年远景目标纲要，根据《中共水城县委关于制定水城县国民经济和社会发展第十四个五年规划和二</w:t>
      </w:r>
      <w:r>
        <w:rPr>
          <w:rFonts w:hint="eastAsia" w:ascii="微软雅黑" w:hAnsi="微软雅黑" w:eastAsia="微软雅黑" w:cs="微软雅黑"/>
        </w:rPr>
        <w:t>〇</w:t>
      </w:r>
      <w:r>
        <w:rPr>
          <w:rFonts w:hint="eastAsia"/>
        </w:rPr>
        <w:t>三五年远景目标的建议》编制，主要阐明全区“十四五”时期发展战略意图，制定经济社会发展目标、主要任务和重大举措，展望二</w:t>
      </w:r>
      <w:r>
        <w:rPr>
          <w:rFonts w:hint="eastAsia" w:ascii="微软雅黑" w:hAnsi="微软雅黑" w:eastAsia="微软雅黑" w:cs="微软雅黑"/>
        </w:rPr>
        <w:t>〇</w:t>
      </w:r>
      <w:r>
        <w:rPr>
          <w:rFonts w:hint="eastAsia"/>
        </w:rPr>
        <w:t>三五年远景目标，明确政府工作重点，有效引导市场主体行为，是水城开展社会主义现代化新征程开局时期的行动纲领，是政府履行职责和各级政府部门编制规划、制定实施年度计划以及政策措施的重要依据。</w:t>
      </w:r>
    </w:p>
    <w:p>
      <w:pPr>
        <w:pStyle w:val="5"/>
      </w:pPr>
      <w:r>
        <w:rPr>
          <w:rFonts w:hint="eastAsia"/>
        </w:rPr>
        <w:t>第一篇 “十三五”时期水城经济社会发展取得的历史性成就</w:t>
      </w:r>
    </w:p>
    <w:p>
      <w:pPr>
        <w:spacing w:line="570" w:lineRule="exact"/>
        <w:ind w:firstLine="640"/>
      </w:pPr>
      <w:r>
        <w:rPr>
          <w:rFonts w:hint="eastAsia"/>
        </w:rPr>
        <w:t>“十三五”是水城发展历史进程中极不平凡、极有成就、极为出彩的时期。在中央和省市的坚强领导下，全县上下不忘初心、牢记使命，坚定不移讲政治、矢志不渝抓发展、拼尽全力战贫困、众志成城斗疫魔、全力以赴防风险，打赢了一场场空前未有的硬仗，完成了一个个艰苦异常的任务。“十三五”时期各项目标胜利完成</w:t>
      </w:r>
      <w:r>
        <w:rPr>
          <w:rFonts w:hint="eastAsia"/>
          <w:lang w:eastAsia="zh-CN"/>
        </w:rPr>
        <w:t>，</w:t>
      </w:r>
      <w:r>
        <w:rPr>
          <w:rFonts w:hint="eastAsia"/>
        </w:rPr>
        <w:t>“</w:t>
      </w:r>
      <w:r>
        <w:rPr>
          <w:rFonts w:hint="eastAsia"/>
          <w:lang w:eastAsia="zh-CN"/>
        </w:rPr>
        <w:t>康养水城</w:t>
      </w:r>
      <w:r>
        <w:rPr>
          <w:rFonts w:hint="eastAsia"/>
        </w:rPr>
        <w:t>”多彩绽放，各项事业交出了精彩的答卷。</w:t>
      </w:r>
    </w:p>
    <w:p>
      <w:pPr>
        <w:spacing w:line="570" w:lineRule="exact"/>
        <w:ind w:firstLine="640"/>
        <w:rPr>
          <w:b/>
          <w:bCs/>
        </w:rPr>
      </w:pPr>
      <w:r>
        <w:rPr>
          <w:rFonts w:hint="eastAsia" w:ascii="黑体" w:hAnsi="黑体" w:eastAsia="黑体"/>
        </w:rPr>
        <w:t>脱贫攻坚取得历史性成就</w:t>
      </w:r>
      <w:r>
        <w:rPr>
          <w:rFonts w:hint="eastAsia"/>
        </w:rPr>
        <w:t>。水城始终把脱贫攻坚作为头等大事来抓，全县上下艰苦奋斗，不胜不休，全力攻克贫困堡垒，全面消除绝对贫困，2</w:t>
      </w:r>
      <w:r>
        <w:t>019</w:t>
      </w:r>
      <w:r>
        <w:rPr>
          <w:rFonts w:hint="eastAsia"/>
        </w:rPr>
        <w:t>年实现提前一年摘帽退出，2</w:t>
      </w:r>
      <w:r>
        <w:t>020</w:t>
      </w:r>
      <w:r>
        <w:rPr>
          <w:rFonts w:hint="eastAsia"/>
        </w:rPr>
        <w:t>年剩余贫困人口如期清零，全县</w:t>
      </w:r>
      <w:r>
        <w:t>24.93万</w:t>
      </w:r>
      <w:r>
        <w:rPr>
          <w:rFonts w:hint="eastAsia"/>
        </w:rPr>
        <w:t>贫困人口全部脱贫</w:t>
      </w:r>
      <w:r>
        <w:t>，182个贫困村全部出列</w:t>
      </w:r>
      <w:r>
        <w:rPr>
          <w:rFonts w:hint="eastAsia"/>
          <w:lang w:eastAsia="zh-CN"/>
        </w:rPr>
        <w:t>，</w:t>
      </w:r>
      <w:r>
        <w:rPr>
          <w:rFonts w:hint="eastAsia"/>
        </w:rPr>
        <w:t>水城从贵州贫困人口最多的县之一变成了减贫人口最多的县之一，水城人民期盼千年的小康梦想变成了生动现实</w:t>
      </w:r>
      <w:r>
        <w:t>。</w:t>
      </w:r>
    </w:p>
    <w:p>
      <w:pPr>
        <w:spacing w:line="570" w:lineRule="exact"/>
        <w:ind w:firstLine="640"/>
        <w:rPr>
          <w:b/>
          <w:bCs/>
        </w:rPr>
      </w:pPr>
      <w:r>
        <w:rPr>
          <w:rFonts w:hint="eastAsia" w:ascii="黑体" w:hAnsi="黑体" w:eastAsia="黑体"/>
        </w:rPr>
        <w:t>经济</w:t>
      </w:r>
      <w:r>
        <w:rPr>
          <w:rFonts w:ascii="黑体" w:hAnsi="黑体" w:eastAsia="黑体"/>
        </w:rPr>
        <w:t>发展</w:t>
      </w:r>
      <w:r>
        <w:rPr>
          <w:rFonts w:hint="eastAsia" w:ascii="黑体" w:hAnsi="黑体" w:eastAsia="黑体"/>
        </w:rPr>
        <w:t>取得跨越性</w:t>
      </w:r>
      <w:r>
        <w:rPr>
          <w:rFonts w:ascii="黑体" w:hAnsi="黑体" w:eastAsia="黑体"/>
        </w:rPr>
        <w:t>突破</w:t>
      </w:r>
      <w:r>
        <w:t>。</w:t>
      </w:r>
      <w:bookmarkStart w:id="3" w:name="_Hlk58962903"/>
      <w:r>
        <w:rPr>
          <w:rFonts w:hint="eastAsia"/>
        </w:rPr>
        <w:t>“十三五”时期水城</w:t>
      </w:r>
      <w:bookmarkEnd w:id="3"/>
      <w:r>
        <w:rPr>
          <w:rFonts w:hint="eastAsia"/>
        </w:rPr>
        <w:t>始终坚定不移贯彻落实新发展理念，致力于推动产业大发展、经济大赶超。传统煤炭产业量质齐飞，</w:t>
      </w:r>
      <w:r>
        <w:t>2020年全县煤炭调运量达1386万吨，</w:t>
      </w:r>
      <w:r>
        <w:rPr>
          <w:rFonts w:hint="eastAsia"/>
        </w:rPr>
        <w:t>发耳煤业建成西南第一个智能化采煤工作面，</w:t>
      </w:r>
      <w:r>
        <w:t>入选国家首批智能化</w:t>
      </w:r>
      <w:r>
        <w:rPr>
          <w:rFonts w:hint="eastAsia"/>
        </w:rPr>
        <w:t>示范煤矿，</w:t>
      </w:r>
      <w:r>
        <w:t>获得首届六盘水市市长质量奖。铝产业实现集群化发展，</w:t>
      </w:r>
      <w:r>
        <w:rPr>
          <w:rFonts w:hint="eastAsia"/>
        </w:rPr>
        <w:t>产值达</w:t>
      </w:r>
      <w:r>
        <w:t>60亿元，水城经开区铝产业园成为贵州省乃至西南地区要素最齐全、配套最完善的铝产业集群基地。山地特色农业迅猛发展，成功培育了“八大亿元特色产业”，打造了水城国家现代农业产业园等一系列国字品牌。全域旅游</w:t>
      </w:r>
      <w:r>
        <w:rPr>
          <w:rFonts w:hint="eastAsia"/>
        </w:rPr>
        <w:t>井喷</w:t>
      </w:r>
      <w:r>
        <w:t>发展，</w:t>
      </w:r>
      <w:r>
        <w:rPr>
          <w:rFonts w:hint="eastAsia"/>
        </w:rPr>
        <w:t>游客接待量、</w:t>
      </w:r>
      <w:r>
        <w:t>旅游综合收入分别年均增长37.6%、34.3%。</w:t>
      </w:r>
      <w:r>
        <w:rPr>
          <w:rFonts w:hint="eastAsia"/>
        </w:rPr>
        <w:t>野玉海景区成功创建国家级旅游度假区，</w:t>
      </w:r>
      <w:r>
        <w:t>百车河景区成功创建国家4A级景区和省级旅游度假区。</w:t>
      </w:r>
      <w:r>
        <w:rPr>
          <w:rFonts w:hint="eastAsia"/>
        </w:rPr>
        <w:t>“放管服”</w:t>
      </w:r>
      <w:r>
        <w:t>改革扎实推进</w:t>
      </w:r>
      <w:r>
        <w:rPr>
          <w:rFonts w:hint="eastAsia"/>
        </w:rPr>
        <w:t>,“</w:t>
      </w:r>
      <w:r>
        <w:t>最多跑一次”事项占比</w:t>
      </w:r>
      <w:r>
        <w:rPr>
          <w:rFonts w:hint="eastAsia"/>
        </w:rPr>
        <w:t>达</w:t>
      </w:r>
      <w:r>
        <w:t>100%，网上可办率达100%</w:t>
      </w:r>
      <w:r>
        <w:rPr>
          <w:rFonts w:hint="eastAsia"/>
        </w:rPr>
        <w:t>。</w:t>
      </w:r>
      <w:r>
        <w:t>县域经济实力快速提升，</w:t>
      </w:r>
      <w:r>
        <w:rPr>
          <w:rFonts w:hint="eastAsia"/>
        </w:rPr>
        <w:t>地区生产总值从“十二五”</w:t>
      </w:r>
      <w:r>
        <w:t>末的206.29亿元增加</w:t>
      </w:r>
      <w:r>
        <w:rPr>
          <w:rFonts w:hint="eastAsia"/>
        </w:rPr>
        <w:t>到</w:t>
      </w:r>
      <w:r>
        <w:t>325.07亿元，年均增长9.07%</w:t>
      </w:r>
      <w:r>
        <w:rPr>
          <w:rFonts w:hint="eastAsia"/>
        </w:rPr>
        <w:t>，</w:t>
      </w:r>
      <w:r>
        <w:t>2019年水城县入列“西部百强县”。</w:t>
      </w:r>
    </w:p>
    <w:p>
      <w:pPr>
        <w:spacing w:line="570" w:lineRule="exact"/>
        <w:ind w:firstLine="640"/>
        <w:rPr>
          <w:b/>
          <w:bCs/>
        </w:rPr>
      </w:pPr>
      <w:r>
        <w:rPr>
          <w:rFonts w:hint="eastAsia" w:ascii="黑体" w:hAnsi="黑体" w:eastAsia="黑体"/>
        </w:rPr>
        <w:t>乡村面貌取得飞跃性巨变</w:t>
      </w:r>
      <w:r>
        <w:rPr>
          <w:rFonts w:hint="eastAsia"/>
        </w:rPr>
        <w:t>。</w:t>
      </w:r>
      <w:bookmarkStart w:id="4" w:name="_Hlk58962978"/>
      <w:r>
        <w:rPr>
          <w:rFonts w:hint="eastAsia"/>
        </w:rPr>
        <w:t>“十三五”时期水城</w:t>
      </w:r>
      <w:bookmarkEnd w:id="4"/>
      <w:r>
        <w:rPr>
          <w:rFonts w:hint="eastAsia"/>
        </w:rPr>
        <w:t>以前</w:t>
      </w:r>
      <w:r>
        <w:t>所未有的力度推进乡村水、电、路、讯等基础设施建设，以大建设推动大提升、促进大赶超，实现硬化公路通乡联村串组到户，城乡一体化通水工程覆盖广大农村群众、联通千家万户，农村安全用电可靠率达100%,30户以上4G网络覆盖率达100%</w:t>
      </w:r>
      <w:r>
        <w:rPr>
          <w:rFonts w:hint="eastAsia"/>
          <w:lang w:eastAsia="zh-CN"/>
        </w:rPr>
        <w:t>，</w:t>
      </w:r>
      <w:r>
        <w:t>彻底改变了过去基础设施长期欠账、长期落后的局面。</w:t>
      </w:r>
      <w:r>
        <w:rPr>
          <w:rFonts w:hint="eastAsia"/>
        </w:rPr>
        <w:t>在城区、</w:t>
      </w:r>
      <w:r>
        <w:t>园区、景区规划建设了24</w:t>
      </w:r>
      <w:r>
        <w:rPr>
          <w:rFonts w:hint="eastAsia"/>
        </w:rPr>
        <w:t>个易扶搬迁安置点</w:t>
      </w:r>
      <w:r>
        <w:rPr>
          <w:rFonts w:hint="eastAsia"/>
          <w:lang w:eastAsia="zh-CN"/>
        </w:rPr>
        <w:t>，</w:t>
      </w:r>
      <w:r>
        <w:t>1.36万户60841人迁离了深山，搬入了美丽</w:t>
      </w:r>
      <w:r>
        <w:rPr>
          <w:rFonts w:hint="eastAsia"/>
        </w:rPr>
        <w:t>的新家园。“两个社区”</w:t>
      </w:r>
      <w:r>
        <w:t>创建入选首批全国农村公共服务典型</w:t>
      </w:r>
      <w:r>
        <w:rPr>
          <w:rFonts w:hint="eastAsia"/>
        </w:rPr>
        <w:t>案例，</w:t>
      </w:r>
      <w:r>
        <w:t>水城入选国家“100个搬迁工作成效明显县”。</w:t>
      </w:r>
    </w:p>
    <w:p>
      <w:pPr>
        <w:spacing w:line="570" w:lineRule="exact"/>
        <w:ind w:firstLine="640"/>
        <w:rPr>
          <w:b/>
          <w:bCs/>
        </w:rPr>
      </w:pPr>
      <w:r>
        <w:rPr>
          <w:rFonts w:ascii="黑体" w:hAnsi="黑体" w:eastAsia="黑体"/>
        </w:rPr>
        <w:t>疫情防控取得卓著性成果</w:t>
      </w:r>
      <w:r>
        <w:t>。2020年新年伊始，面对突如其来的新冠肺炎疫情，</w:t>
      </w:r>
      <w:r>
        <w:rPr>
          <w:rFonts w:hint="eastAsia"/>
        </w:rPr>
        <w:t>水城</w:t>
      </w:r>
      <w:r>
        <w:t>始终坚持把人民群众的生命安全和身体健康放在第一位，第一时间启动了最紧急、最严格、最深入、最广泛的排查</w:t>
      </w:r>
      <w:r>
        <w:rPr>
          <w:rFonts w:hint="eastAsia"/>
        </w:rPr>
        <w:t>、隔离、监测、防控，</w:t>
      </w:r>
      <w:r>
        <w:t>全面抓紧抓实抓细中央和省市各项防控措施，织紧织密“外防输入、内防扩散”的防疫大网，坚决阻断疫情输入。</w:t>
      </w:r>
      <w:r>
        <w:rPr>
          <w:rFonts w:hint="eastAsia"/>
        </w:rPr>
        <w:t>坚决打赢了疫情防控人民战争、</w:t>
      </w:r>
      <w:r>
        <w:t>总体</w:t>
      </w:r>
      <w:r>
        <w:rPr>
          <w:rFonts w:hint="eastAsia"/>
        </w:rPr>
        <w:t>战、</w:t>
      </w:r>
      <w:r>
        <w:t>阻击战，取得了零疑似、零确诊的不易战果。</w:t>
      </w:r>
    </w:p>
    <w:p>
      <w:pPr>
        <w:spacing w:line="570" w:lineRule="exact"/>
        <w:ind w:firstLine="640"/>
        <w:rPr>
          <w:b/>
          <w:bCs/>
        </w:rPr>
      </w:pPr>
      <w:r>
        <w:rPr>
          <w:rFonts w:ascii="黑体" w:hAnsi="黑体" w:eastAsia="黑体"/>
        </w:rPr>
        <w:t>民生事业取得长足性发展</w:t>
      </w:r>
      <w:r>
        <w:t>。</w:t>
      </w:r>
      <w:r>
        <w:rPr>
          <w:rFonts w:hint="eastAsia"/>
        </w:rPr>
        <w:t>“十三五”时期水城</w:t>
      </w:r>
      <w:r>
        <w:t>始终致力于不断保障和改进民生，持续加大民生投入力度，建成了覆盖县乡村的各类学校和公共医疗机构，</w:t>
      </w:r>
      <w:r>
        <w:rPr>
          <w:rFonts w:hint="eastAsia"/>
        </w:rPr>
        <w:t>新建（</w:t>
      </w:r>
      <w:r>
        <w:t>改扩建）各类学校244所</w:t>
      </w:r>
      <w:r>
        <w:rPr>
          <w:rFonts w:hint="eastAsia"/>
        </w:rPr>
        <w:t>，</w:t>
      </w:r>
      <w:r>
        <w:t>建成二甲医院2个、二级</w:t>
      </w:r>
      <w:r>
        <w:rPr>
          <w:rFonts w:hint="eastAsia"/>
        </w:rPr>
        <w:t>标准乡镇卫生院</w:t>
      </w:r>
      <w:r>
        <w:t>9个、1000平方米以上乡镇标准卫生院21个、250</w:t>
      </w:r>
      <w:r>
        <w:rPr>
          <w:rFonts w:hint="eastAsia"/>
        </w:rPr>
        <w:t>平方米标准化村居卫生室</w:t>
      </w:r>
      <w:r>
        <w:t>235个</w:t>
      </w:r>
      <w:r>
        <w:rPr>
          <w:rFonts w:hint="eastAsia"/>
        </w:rPr>
        <w:t>，</w:t>
      </w:r>
      <w:r>
        <w:t>城乡群众享有更优质的教育和医疗</w:t>
      </w:r>
      <w:r>
        <w:rPr>
          <w:rFonts w:hint="eastAsia"/>
        </w:rPr>
        <w:t>。</w:t>
      </w:r>
      <w:r>
        <w:t>创新开设“</w:t>
      </w:r>
      <w:bookmarkStart w:id="5" w:name="_Hlk63092800"/>
      <w:r>
        <w:t>八大员</w:t>
      </w:r>
      <w:bookmarkEnd w:id="5"/>
      <w:r>
        <w:t>”公共服务岗位，广泛促进城乡群众就业创业</w:t>
      </w:r>
      <w:r>
        <w:rPr>
          <w:rFonts w:hint="eastAsia"/>
        </w:rPr>
        <w:t>，累计完成劳动力培训</w:t>
      </w:r>
      <w:r>
        <w:t>9.15</w:t>
      </w:r>
      <w:r>
        <w:rPr>
          <w:rFonts w:hint="eastAsia"/>
        </w:rPr>
        <w:t>万人次，</w:t>
      </w:r>
      <w:r>
        <w:t>促进就业6.9万人次，新增转移农村劳动力就业11.09</w:t>
      </w:r>
      <w:r>
        <w:rPr>
          <w:rFonts w:hint="eastAsia"/>
        </w:rPr>
        <w:t>万人次，</w:t>
      </w:r>
      <w:r>
        <w:t>开设公共服务岗位1万余个。深入打好污染防治攻坚战，生态环境持续改善，</w:t>
      </w:r>
      <w:r>
        <w:rPr>
          <w:rFonts w:hint="eastAsia"/>
        </w:rPr>
        <w:t>国控、</w:t>
      </w:r>
      <w:r>
        <w:t>省控断面水</w:t>
      </w:r>
      <w:r>
        <w:rPr>
          <w:rFonts w:hint="eastAsia"/>
        </w:rPr>
        <w:t>质达标率</w:t>
      </w:r>
      <w:r>
        <w:t>100%，千人以上集中式饮用水源地水质达标率100%</w:t>
      </w:r>
      <w:r>
        <w:rPr>
          <w:rFonts w:hint="eastAsia"/>
        </w:rPr>
        <w:t>，中心城区污水处理率达</w:t>
      </w:r>
      <w:r>
        <w:t>92%，建制镇污水处理厂全部建成，空气</w:t>
      </w:r>
      <w:r>
        <w:rPr>
          <w:rFonts w:hint="eastAsia"/>
        </w:rPr>
        <w:t>优良率达</w:t>
      </w:r>
      <w:r>
        <w:t>99.7%</w:t>
      </w:r>
      <w:r>
        <w:rPr>
          <w:rFonts w:hint="eastAsia"/>
          <w:lang w:eastAsia="zh-CN"/>
        </w:rPr>
        <w:t>，</w:t>
      </w:r>
      <w:r>
        <w:t>森林覆盖率从“十二五”末的43.13%提高到63.55%</w:t>
      </w:r>
      <w:r>
        <w:rPr>
          <w:rFonts w:hint="eastAsia"/>
        </w:rPr>
        <w:t>，</w:t>
      </w:r>
      <w:r>
        <w:t>森林覆盖率连续</w:t>
      </w:r>
      <w:r>
        <w:rPr>
          <w:rFonts w:hint="eastAsia"/>
        </w:rPr>
        <w:t>五</w:t>
      </w:r>
      <w:r>
        <w:t>年位居全市第一。</w:t>
      </w:r>
    </w:p>
    <w:p>
      <w:pPr>
        <w:spacing w:line="570" w:lineRule="exact"/>
        <w:ind w:firstLine="640"/>
        <w:rPr>
          <w:b/>
          <w:bCs/>
        </w:rPr>
      </w:pPr>
      <w:r>
        <w:rPr>
          <w:rFonts w:ascii="黑体" w:hAnsi="黑体" w:eastAsia="黑体"/>
        </w:rPr>
        <w:t>基层治理取得开创性革</w:t>
      </w:r>
      <w:r>
        <w:rPr>
          <w:rFonts w:hint="eastAsia" w:ascii="黑体" w:hAnsi="黑体" w:eastAsia="黑体"/>
        </w:rPr>
        <w:t>新</w:t>
      </w:r>
      <w:r>
        <w:rPr>
          <w:rFonts w:hint="eastAsia"/>
        </w:rPr>
        <w:t>。以敢闯敢试的精神，深化改革、大胆创新，在全省率先推出了</w:t>
      </w:r>
      <w:r>
        <w:t>“六化一体”村干部</w:t>
      </w:r>
      <w:r>
        <w:rPr>
          <w:rFonts w:hint="eastAsia"/>
        </w:rPr>
        <w:t>职业</w:t>
      </w:r>
      <w:r>
        <w:t>化管理、辅警职业化改革、村医公职化管理、消防员专职化改革等一系列具有开创性的举措，极大提升了基层治理能力和治理水平。</w:t>
      </w:r>
    </w:p>
    <w:p>
      <w:pPr>
        <w:spacing w:line="570" w:lineRule="exact"/>
        <w:ind w:firstLine="640"/>
      </w:pPr>
      <w:r>
        <w:rPr>
          <w:rFonts w:ascii="黑体" w:hAnsi="黑体" w:eastAsia="黑体"/>
        </w:rPr>
        <w:t>从严反腐取得压倒性胜利</w:t>
      </w:r>
      <w:r>
        <w:t>。</w:t>
      </w:r>
      <w:r>
        <w:rPr>
          <w:rFonts w:hint="eastAsia"/>
        </w:rPr>
        <w:t>“十三五”时期水城</w:t>
      </w:r>
      <w:r>
        <w:t>始终把从严治党作为重大政治责任，坚定不移狠抓政治建设、思想建设、廉洁建设</w:t>
      </w:r>
      <w:r>
        <w:rPr>
          <w:rFonts w:hint="eastAsia"/>
        </w:rPr>
        <w:t>、作风建设、纪律建设</w:t>
      </w:r>
      <w:r>
        <w:t>，扎实开展“不忘初心、牢记使命”主题教育，一以贯之从严监督执纪、从严惩贪治腐、从严教育管理干部，各级干部的纪律意识、规矩意识不断增强，政治生态持续向善向好。</w:t>
      </w:r>
    </w:p>
    <w:p>
      <w:pPr>
        <w:spacing w:line="570" w:lineRule="exact"/>
        <w:ind w:firstLine="640"/>
      </w:pPr>
      <w:r>
        <w:rPr>
          <w:rFonts w:hint="eastAsia"/>
        </w:rPr>
        <w:t>经过艰苦不懈努力，全面建成小康社会胜利在望。这些成绩的取得，得益于习近平总书记掌舵领航，得益于习近平新时代中国特色社会主义思想科学指导，得益于党中央和省委省政府、市委市政府的坚强领导，凝结着历届老同志们的心血和智慧，是广大干部群众、各族各界人士众志成城、顽强拼搏干出来的。全县上下要把习近平总书记重要指示精神作为一切工作的根本遵循，善作善成、久久为功，在开启全面建设社会主义现代化新征程上再创辉煌。</w:t>
      </w:r>
    </w:p>
    <w:p>
      <w:pPr>
        <w:pStyle w:val="4"/>
      </w:pPr>
    </w:p>
    <w:p>
      <w:pPr>
        <w:pStyle w:val="4"/>
      </w:pPr>
    </w:p>
    <w:p>
      <w:pPr>
        <w:pStyle w:val="4"/>
      </w:pPr>
    </w:p>
    <w:p>
      <w:pPr>
        <w:pStyle w:val="4"/>
      </w:pPr>
    </w:p>
    <w:p>
      <w:pPr>
        <w:pStyle w:val="4"/>
      </w:pPr>
    </w:p>
    <w:tbl>
      <w:tblPr>
        <w:tblStyle w:val="15"/>
        <w:tblW w:w="8438" w:type="dxa"/>
        <w:jc w:val="center"/>
        <w:tblLayout w:type="fixed"/>
        <w:tblCellMar>
          <w:top w:w="0" w:type="dxa"/>
          <w:left w:w="0" w:type="dxa"/>
          <w:bottom w:w="0" w:type="dxa"/>
          <w:right w:w="0" w:type="dxa"/>
        </w:tblCellMar>
      </w:tblPr>
      <w:tblGrid>
        <w:gridCol w:w="350"/>
        <w:gridCol w:w="3402"/>
        <w:gridCol w:w="1276"/>
        <w:gridCol w:w="1275"/>
        <w:gridCol w:w="1370"/>
        <w:gridCol w:w="765"/>
      </w:tblGrid>
      <w:tr>
        <w:tblPrEx>
          <w:tblCellMar>
            <w:top w:w="0" w:type="dxa"/>
            <w:left w:w="0" w:type="dxa"/>
            <w:bottom w:w="0" w:type="dxa"/>
            <w:right w:w="0" w:type="dxa"/>
          </w:tblCellMar>
        </w:tblPrEx>
        <w:trPr>
          <w:trHeight w:val="551" w:hRule="atLeast"/>
          <w:tblHeader/>
          <w:jc w:val="center"/>
        </w:trPr>
        <w:tc>
          <w:tcPr>
            <w:tcW w:w="84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54" w:firstLineChars="21"/>
              <w:jc w:val="center"/>
              <w:textAlignment w:val="center"/>
              <w:rPr>
                <w:rFonts w:ascii="楷体" w:hAnsi="楷体" w:eastAsia="楷体"/>
                <w:b/>
                <w:color w:val="000000"/>
                <w:kern w:val="0"/>
                <w:sz w:val="18"/>
                <w:szCs w:val="18"/>
              </w:rPr>
            </w:pPr>
            <w:r>
              <w:rPr>
                <w:rFonts w:hint="eastAsia" w:ascii="楷体" w:hAnsi="楷体" w:eastAsia="楷体"/>
                <w:bCs/>
                <w:color w:val="000000"/>
                <w:sz w:val="26"/>
                <w:szCs w:val="26"/>
              </w:rPr>
              <w:t>专栏1 六盘水市水城区“十三五”规划主要指标完成情况表</w:t>
            </w:r>
          </w:p>
        </w:tc>
      </w:tr>
      <w:tr>
        <w:tblPrEx>
          <w:tblCellMar>
            <w:top w:w="0" w:type="dxa"/>
            <w:left w:w="0" w:type="dxa"/>
            <w:bottom w:w="0" w:type="dxa"/>
            <w:right w:w="0" w:type="dxa"/>
          </w:tblCellMar>
        </w:tblPrEx>
        <w:trPr>
          <w:trHeight w:val="559" w:hRule="atLeast"/>
          <w:tblHeader/>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pacing w:line="260" w:lineRule="exact"/>
              <w:rPr>
                <w:rFonts w:ascii="仿宋_GB2312" w:eastAsia="仿宋_GB2312"/>
              </w:rPr>
            </w:pP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61" w:firstLineChars="34"/>
              <w:jc w:val="center"/>
              <w:textAlignment w:val="center"/>
              <w:rPr>
                <w:rFonts w:hAnsi="Times New Roman"/>
                <w:b/>
                <w:color w:val="000000"/>
                <w:kern w:val="0"/>
                <w:sz w:val="18"/>
                <w:szCs w:val="18"/>
              </w:rPr>
            </w:pPr>
            <w:r>
              <w:rPr>
                <w:rFonts w:hint="eastAsia" w:hAnsi="Times New Roman"/>
                <w:b/>
                <w:color w:val="000000"/>
                <w:kern w:val="0"/>
                <w:sz w:val="18"/>
                <w:szCs w:val="18"/>
              </w:rPr>
              <w:t>指标名称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2015年</w:t>
            </w:r>
          </w:p>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完成情况</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38" w:firstLineChars="21"/>
              <w:jc w:val="center"/>
              <w:textAlignment w:val="center"/>
              <w:rPr>
                <w:rFonts w:hint="eastAsia" w:hAnsi="Times New Roman" w:eastAsia="仿宋_GB2312"/>
                <w:b/>
                <w:color w:val="000000"/>
                <w:kern w:val="0"/>
                <w:sz w:val="18"/>
                <w:szCs w:val="18"/>
                <w:lang w:eastAsia="zh-CN"/>
              </w:rPr>
            </w:pPr>
            <w:r>
              <w:rPr>
                <w:rFonts w:hint="eastAsia" w:hAnsi="Times New Roman"/>
                <w:b/>
                <w:color w:val="000000"/>
                <w:kern w:val="0"/>
                <w:sz w:val="18"/>
                <w:szCs w:val="18"/>
              </w:rPr>
              <w:t>2020年</w:t>
            </w:r>
          </w:p>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目标</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2020年</w:t>
            </w:r>
          </w:p>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完成情况</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38" w:firstLineChars="21"/>
              <w:jc w:val="center"/>
              <w:textAlignment w:val="center"/>
              <w:rPr>
                <w:rFonts w:hAnsi="Times New Roman"/>
                <w:b/>
                <w:color w:val="000000"/>
                <w:kern w:val="0"/>
                <w:sz w:val="18"/>
                <w:szCs w:val="18"/>
              </w:rPr>
            </w:pPr>
            <w:r>
              <w:rPr>
                <w:rFonts w:hint="eastAsia" w:hAnsi="Times New Roman"/>
                <w:b/>
                <w:color w:val="000000"/>
                <w:kern w:val="0"/>
                <w:sz w:val="18"/>
                <w:szCs w:val="18"/>
              </w:rPr>
              <w:t>属性</w:t>
            </w: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sz w:val="18"/>
                <w:szCs w:val="18"/>
              </w:rPr>
            </w:pPr>
            <w:r>
              <w:rPr>
                <w:rFonts w:hint="eastAsia" w:hAnsi="Times New Roman"/>
                <w:kern w:val="0"/>
                <w:sz w:val="18"/>
                <w:szCs w:val="18"/>
              </w:rPr>
              <w:t>1</w:t>
            </w:r>
          </w:p>
        </w:tc>
        <w:tc>
          <w:tcPr>
            <w:tcW w:w="34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62" w:firstLineChars="35"/>
              <w:jc w:val="center"/>
              <w:textAlignment w:val="center"/>
              <w:rPr>
                <w:rFonts w:hAnsi="Times New Roman"/>
                <w:sz w:val="18"/>
                <w:szCs w:val="18"/>
              </w:rPr>
            </w:pPr>
            <w:r>
              <w:rPr>
                <w:rFonts w:hint="eastAsia" w:hAnsi="Times New Roman"/>
                <w:kern w:val="0"/>
                <w:sz w:val="18"/>
                <w:szCs w:val="18"/>
              </w:rPr>
              <w:t>地区生产总值（亿元）</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206.29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400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325.07</w:t>
            </w:r>
          </w:p>
        </w:tc>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ind w:firstLine="360"/>
              <w:jc w:val="center"/>
              <w:rPr>
                <w:rFonts w:hAnsi="Times New Roman"/>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ind w:firstLine="360"/>
              <w:jc w:val="center"/>
              <w:rPr>
                <w:rFonts w:hAnsi="Times New Roman"/>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ind w:firstLine="360"/>
              <w:jc w:val="center"/>
              <w:rPr>
                <w:rFonts w:hAnsi="Times New Roman"/>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left="-2" w:leftChars="-12" w:hanging="36" w:hangingChars="20"/>
              <w:jc w:val="center"/>
              <w:textAlignment w:val="center"/>
              <w:rPr>
                <w:rFonts w:hAnsi="Times New Roman"/>
                <w:color w:val="000000"/>
                <w:sz w:val="18"/>
                <w:szCs w:val="18"/>
              </w:rPr>
            </w:pPr>
            <w:r>
              <w:rPr>
                <w:rFonts w:hint="eastAsia" w:hAnsi="Times New Roman"/>
                <w:color w:val="000000"/>
                <w:sz w:val="18"/>
                <w:szCs w:val="18"/>
              </w:rPr>
              <w:t>13%</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kern w:val="0"/>
                <w:sz w:val="18"/>
                <w:szCs w:val="18"/>
              </w:rPr>
              <w:t>9.07%</w:t>
            </w:r>
          </w:p>
        </w:tc>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ind w:firstLine="360"/>
              <w:jc w:val="center"/>
              <w:rPr>
                <w:rFonts w:hAnsi="Times New Roman"/>
                <w:color w:val="000000"/>
                <w:sz w:val="18"/>
                <w:szCs w:val="18"/>
              </w:rPr>
            </w:pP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2</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人均生产总值（元）</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27826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40000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42860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3</w:t>
            </w:r>
          </w:p>
        </w:tc>
        <w:tc>
          <w:tcPr>
            <w:tcW w:w="34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社会消费品零售总额（亿元）</w:t>
            </w:r>
          </w:p>
        </w:tc>
        <w:tc>
          <w:tcPr>
            <w:tcW w:w="12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16.94</w:t>
            </w:r>
          </w:p>
        </w:tc>
        <w:tc>
          <w:tcPr>
            <w:tcW w:w="127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27.88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w:t>
            </w:r>
          </w:p>
        </w:tc>
        <w:tc>
          <w:tcPr>
            <w:tcW w:w="7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pPr>
          </w:p>
        </w:tc>
        <w:tc>
          <w:tcPr>
            <w:tcW w:w="34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pPr>
          </w:p>
        </w:tc>
        <w:tc>
          <w:tcPr>
            <w:tcW w:w="12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pPr>
          </w:p>
        </w:tc>
        <w:tc>
          <w:tcPr>
            <w:tcW w:w="127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 xml:space="preserve"> 9.16%</w:t>
            </w:r>
          </w:p>
        </w:tc>
        <w:tc>
          <w:tcPr>
            <w:tcW w:w="7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4</w:t>
            </w:r>
          </w:p>
        </w:tc>
        <w:tc>
          <w:tcPr>
            <w:tcW w:w="34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一般公共财政预算收入（亿元）</w:t>
            </w:r>
          </w:p>
        </w:tc>
        <w:tc>
          <w:tcPr>
            <w:tcW w:w="12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20.70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27.67</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13.0047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34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12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5</w:t>
            </w:r>
          </w:p>
        </w:tc>
        <w:tc>
          <w:tcPr>
            <w:tcW w:w="34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固定资产投资（500万元新口径，亿元）</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249.69</w:t>
            </w:r>
          </w:p>
        </w:tc>
        <w:tc>
          <w:tcPr>
            <w:tcW w:w="127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937</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w:t>
            </w:r>
          </w:p>
        </w:tc>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13.58%</w:t>
            </w:r>
          </w:p>
        </w:tc>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6</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城镇化率（%）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33.2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45.</w:t>
            </w:r>
            <w:r>
              <w:rPr>
                <w:rFonts w:hAnsi="Times New Roman"/>
                <w:color w:val="000000"/>
                <w:kern w:val="0"/>
                <w:sz w:val="18"/>
                <w:szCs w:val="18"/>
              </w:rPr>
              <w:t>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7</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粮经比（%）</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宋体"/>
                <w:kern w:val="0"/>
                <w:sz w:val="18"/>
                <w:szCs w:val="18"/>
              </w:rPr>
              <w:t>4:6</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宋体"/>
                <w:color w:val="000000"/>
                <w:kern w:val="0"/>
                <w:sz w:val="18"/>
                <w:szCs w:val="18"/>
              </w:rPr>
              <w:t>2:8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8</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非公有制经济增加值占GDP比重（%）</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59.9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9</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工业和服务业增加值占GDP比重（%）</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76.79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恩格尔系数（%）</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37.12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35.6</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35.73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11</w:t>
            </w:r>
          </w:p>
        </w:tc>
        <w:tc>
          <w:tcPr>
            <w:tcW w:w="34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城镇居民人均可支配收入（元）</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21407</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35993</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32298</w:t>
            </w:r>
          </w:p>
        </w:tc>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8.57%</w:t>
            </w:r>
          </w:p>
        </w:tc>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r>
      <w:tr>
        <w:tblPrEx>
          <w:tblCellMar>
            <w:top w:w="0" w:type="dxa"/>
            <w:left w:w="0" w:type="dxa"/>
            <w:bottom w:w="0" w:type="dxa"/>
            <w:right w:w="0" w:type="dxa"/>
          </w:tblCellMar>
        </w:tblPrEx>
        <w:trPr>
          <w:trHeight w:val="284" w:hRule="exact"/>
          <w:jc w:val="center"/>
        </w:trPr>
        <w:tc>
          <w:tcPr>
            <w:tcW w:w="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12</w:t>
            </w:r>
          </w:p>
        </w:tc>
        <w:tc>
          <w:tcPr>
            <w:tcW w:w="34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农村居民人均可支配收入（元）</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7088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12959.8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11272</w:t>
            </w:r>
          </w:p>
        </w:tc>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11%</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9.72%</w:t>
            </w:r>
          </w:p>
        </w:tc>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13</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城镇登记失业率（%）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4.2</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14</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森林覆盖率（%）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50.05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62</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63.55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15</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kern w:val="0"/>
                <w:sz w:val="18"/>
                <w:szCs w:val="18"/>
              </w:rPr>
              <w:t>石漠化综合治理面积（五年累计，平方公里）</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101.95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16</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单位GDP能耗（吨标准煤/万元）</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宋体"/>
                <w:kern w:val="0"/>
                <w:sz w:val="18"/>
                <w:szCs w:val="18"/>
              </w:rPr>
              <w:t>1.7</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1.65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17</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单位GDP水耗（立方米/万元）</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宋体"/>
                <w:kern w:val="0"/>
                <w:sz w:val="18"/>
                <w:szCs w:val="18"/>
              </w:rPr>
              <w:t>112</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sz w:val="18"/>
                <w:szCs w:val="18"/>
              </w:rPr>
            </w:pPr>
            <w:r>
              <w:rPr>
                <w:rFonts w:hint="eastAsia" w:hAnsi="Times New Roman"/>
                <w:color w:val="000000"/>
                <w:sz w:val="18"/>
                <w:szCs w:val="18"/>
              </w:rPr>
              <w:t>50.45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18</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城乡生活垃圾无害化处理率（%）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82.99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19</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kern w:val="0"/>
                <w:sz w:val="18"/>
                <w:szCs w:val="18"/>
              </w:rPr>
              <w:t>城镇污水处理率（%）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92.23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20</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城市（县城）环境空气质量达标率（%）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99.45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宋体"/>
                <w:color w:val="000000"/>
                <w:kern w:val="0"/>
                <w:sz w:val="18"/>
                <w:szCs w:val="18"/>
              </w:rPr>
              <w:t>≥</w:t>
            </w:r>
            <w:r>
              <w:rPr>
                <w:rFonts w:hint="eastAsia" w:hAnsi="Times New Roman"/>
                <w:color w:val="000000"/>
                <w:kern w:val="0"/>
                <w:sz w:val="18"/>
                <w:szCs w:val="18"/>
              </w:rPr>
              <w:t>85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21</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乡镇千人以上饮水水质达标率（%）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100</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22</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FF0000"/>
                <w:kern w:val="0"/>
                <w:sz w:val="18"/>
                <w:szCs w:val="18"/>
              </w:rPr>
            </w:pPr>
            <w:r>
              <w:rPr>
                <w:rFonts w:hint="eastAsia" w:hAnsi="Times New Roman"/>
                <w:color w:val="000000"/>
                <w:kern w:val="0"/>
                <w:sz w:val="18"/>
                <w:szCs w:val="18"/>
              </w:rPr>
              <w:t>完成贫困人口脱贫（万人）</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宋体"/>
                <w:kern w:val="0"/>
                <w:sz w:val="18"/>
                <w:szCs w:val="18"/>
              </w:rPr>
              <w:t>20.22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9.38</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全县脱贫</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23</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城镇新增就业人数累计（万人）</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3.59</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5.37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24</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人口出生率(‰)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13.5</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6.17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约束性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25</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人均预期寿命（岁）</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71</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76</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73.4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26</w:t>
            </w:r>
          </w:p>
        </w:tc>
        <w:tc>
          <w:tcPr>
            <w:tcW w:w="340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千人拥有执业（助理）医师数（人）</w:t>
            </w:r>
          </w:p>
        </w:tc>
        <w:tc>
          <w:tcPr>
            <w:tcW w:w="12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0.53</w:t>
            </w: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1.83</w:t>
            </w:r>
          </w:p>
        </w:tc>
        <w:tc>
          <w:tcPr>
            <w:tcW w:w="1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27</w:t>
            </w:r>
          </w:p>
        </w:tc>
        <w:tc>
          <w:tcPr>
            <w:tcW w:w="340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千人拥有卫生机构床位数（张）</w:t>
            </w:r>
          </w:p>
        </w:tc>
        <w:tc>
          <w:tcPr>
            <w:tcW w:w="12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1.35</w:t>
            </w:r>
          </w:p>
        </w:tc>
        <w:tc>
          <w:tcPr>
            <w:tcW w:w="127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4.5</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4.5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28</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九年义务教育巩固率（%）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85.5</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95</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99.01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29</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高中阶段毛入学率（%）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78</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85</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90.04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30</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FF0000"/>
                <w:kern w:val="0"/>
                <w:sz w:val="18"/>
                <w:szCs w:val="18"/>
              </w:rPr>
            </w:pPr>
            <w:r>
              <w:rPr>
                <w:rFonts w:hint="eastAsia" w:hAnsi="Times New Roman"/>
                <w:color w:val="000000"/>
                <w:kern w:val="0"/>
                <w:sz w:val="18"/>
                <w:szCs w:val="18"/>
              </w:rPr>
              <w:t>平均受教育年限（15周岁及以上，年）</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8.3</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10.6</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10.5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31</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新型农村合作医疗覆盖率（%）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99.26</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99.5</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99.55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32</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基本社会保险覆盖率（%）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sz w:val="18"/>
                <w:szCs w:val="18"/>
              </w:rPr>
              <w:t>74.29</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93</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sz w:val="18"/>
                <w:szCs w:val="18"/>
              </w:rPr>
              <w:t>85.95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r>
        <w:tblPrEx>
          <w:tblCellMar>
            <w:top w:w="0" w:type="dxa"/>
            <w:left w:w="0" w:type="dxa"/>
            <w:bottom w:w="0" w:type="dxa"/>
            <w:right w:w="0" w:type="dxa"/>
          </w:tblCellMar>
        </w:tblPrEx>
        <w:trPr>
          <w:trHeight w:val="284" w:hRule="exact"/>
          <w:jc w:val="center"/>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33</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招商引资累计到位资金（亿元）</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宋体"/>
                <w:kern w:val="0"/>
                <w:sz w:val="18"/>
                <w:szCs w:val="18"/>
              </w:rPr>
              <w:t>907.23</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宋体"/>
                <w:kern w:val="0"/>
                <w:sz w:val="18"/>
                <w:szCs w:val="18"/>
              </w:rPr>
              <w:t>1814</w:t>
            </w:r>
          </w:p>
        </w:tc>
        <w:tc>
          <w:tcPr>
            <w:tcW w:w="13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kern w:val="0"/>
                <w:sz w:val="18"/>
                <w:szCs w:val="18"/>
              </w:rPr>
            </w:pPr>
            <w:r>
              <w:rPr>
                <w:rFonts w:hint="eastAsia" w:hAnsi="Times New Roman"/>
                <w:kern w:val="0"/>
                <w:sz w:val="18"/>
                <w:szCs w:val="18"/>
              </w:rPr>
              <w:t>1263.99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ind w:firstLine="0" w:firstLineChars="0"/>
              <w:jc w:val="center"/>
              <w:textAlignment w:val="center"/>
              <w:rPr>
                <w:rFonts w:hAnsi="Times New Roman"/>
                <w:color w:val="000000"/>
                <w:kern w:val="0"/>
                <w:sz w:val="18"/>
                <w:szCs w:val="18"/>
              </w:rPr>
            </w:pPr>
            <w:r>
              <w:rPr>
                <w:rFonts w:hint="eastAsia" w:hAnsi="Times New Roman"/>
                <w:color w:val="000000"/>
                <w:kern w:val="0"/>
                <w:sz w:val="18"/>
                <w:szCs w:val="18"/>
              </w:rPr>
              <w:t>预期性</w:t>
            </w:r>
          </w:p>
        </w:tc>
      </w:tr>
    </w:tbl>
    <w:p>
      <w:pPr>
        <w:pStyle w:val="5"/>
      </w:pPr>
      <w:bookmarkStart w:id="6" w:name="_Toc63250045"/>
      <w:r>
        <w:br w:type="page"/>
      </w:r>
    </w:p>
    <w:p>
      <w:pPr>
        <w:pStyle w:val="5"/>
      </w:pPr>
      <w:r>
        <w:rPr>
          <w:rFonts w:hint="eastAsia"/>
        </w:rPr>
        <w:t xml:space="preserve">第二篇 </w:t>
      </w:r>
      <w:bookmarkEnd w:id="2"/>
      <w:r>
        <w:rPr>
          <w:rFonts w:hint="eastAsia"/>
        </w:rPr>
        <w:t>全面准确把握水城新发展阶段面临的形势任务</w:t>
      </w:r>
      <w:bookmarkEnd w:id="6"/>
    </w:p>
    <w:p>
      <w:pPr>
        <w:ind w:firstLine="640"/>
      </w:pPr>
      <w:r>
        <w:rPr>
          <w:rFonts w:hint="eastAsia"/>
        </w:rPr>
        <w:t>“十四五”时期是我国全面建成小康社会、实现第一个百年奋斗目标之后，乘势而上开启全面建设社会主义现代化国家新征程、向第二个百年奋斗目标进军的第一个五年。科学谋划“十四五”时期发展的目标、任务、举措，必须深入分析形势、把握发展大势，科学决策、乘势而上，全面构建“持续发展的经济生态、风清气正的政治生态、公平正义的法治生态、和谐幸福的社会生态、繁荣发展的文化生态、山清水秀的自然生态”，接续打造“</w:t>
      </w:r>
      <w:r>
        <w:rPr>
          <w:rFonts w:hint="eastAsia"/>
          <w:lang w:eastAsia="zh-CN"/>
        </w:rPr>
        <w:t>康养水城</w:t>
      </w:r>
      <w:r>
        <w:rPr>
          <w:rFonts w:hint="eastAsia"/>
        </w:rPr>
        <w:t>”升级版，奋力开启全面建设社会主义现代化新征程</w:t>
      </w:r>
      <w:r>
        <w:t>。</w:t>
      </w:r>
    </w:p>
    <w:p>
      <w:pPr>
        <w:pStyle w:val="6"/>
        <w:spacing w:before="222"/>
        <w:ind w:firstLine="643" w:firstLineChars="200"/>
        <w:jc w:val="center"/>
      </w:pPr>
      <w:bookmarkStart w:id="7" w:name="_Toc63250046"/>
      <w:r>
        <w:rPr>
          <w:rFonts w:hint="eastAsia"/>
        </w:rPr>
        <w:t>第一章 机遇与挑战</w:t>
      </w:r>
      <w:bookmarkEnd w:id="7"/>
    </w:p>
    <w:p>
      <w:pPr>
        <w:spacing w:line="570" w:lineRule="exact"/>
        <w:ind w:firstLine="640"/>
      </w:pPr>
      <w:r>
        <w:rPr>
          <w:rFonts w:hint="eastAsia"/>
        </w:rPr>
        <w:t>当前和今后一个时期，我国发展仍然处于重要战略机遇期，但机遇和挑战都有新的发展变化。当今世界正经历百年未有之大变局，新一轮科技革命和产业变革深入发展，同时国际环境日趋复杂，新冠肺炎疫情影响广泛深远，不稳定性不确定性明显增加。我国已转向高质量发展阶段，即将开启全面建设社会主义现代化国家新征程，继续发展具有多方面的优势和条件。总的来看，当前大环境大形势对水城发展总体有利，党中央构建以国内大循环为主体、国内国际双循环相互促进的新发展格局</w:t>
      </w:r>
      <w:r>
        <w:t>,强化举措推进新时代西部大开发，大力推进“一带一路”建设、长江经济带、成渝双城经</w:t>
      </w:r>
      <w:r>
        <w:rPr>
          <w:rFonts w:hint="eastAsia"/>
        </w:rPr>
        <w:t>济圈、粤港澳大湾区等国家战略，为水城加快高质量发展带来了重大机遇。</w:t>
      </w:r>
    </w:p>
    <w:p>
      <w:pPr>
        <w:spacing w:line="570" w:lineRule="exact"/>
        <w:ind w:firstLine="640"/>
      </w:pPr>
      <w:r>
        <w:rPr>
          <w:rFonts w:hint="eastAsia"/>
        </w:rPr>
        <w:t>“十三五”以来，省委省政府守住发展和生态两条底线，坚决打好三大攻坚战，大力推进三大战略行动，建设三大国家级试验区，贵州后发赶超优势凸显，为水城高质量发展注入了强大动力。市委市政府深入实施工业强市和城镇化带动主战略，突出抓好大扶贫、大数据、大健康三大战略行动，坚持走山地特色生态产业路、山地特色现代农业路、山地特色健康旅游路、山地特色城乡一体路，为水城高质量发展提供了有力支撑。经过近五年的快速发展，水城国民经济综合实力显著增强，产业韧性不断提升，水电路讯等基础设施飞速巨变，资源优势转向发展优势的通道全面打通，“</w:t>
      </w:r>
      <w:r>
        <w:rPr>
          <w:rFonts w:hint="eastAsia"/>
          <w:lang w:eastAsia="zh-CN"/>
        </w:rPr>
        <w:t>康养水城</w:t>
      </w:r>
      <w:r>
        <w:rPr>
          <w:rFonts w:hint="eastAsia"/>
        </w:rPr>
        <w:t>”影响力不断提升，为高质量发展奠定了坚实基础。</w:t>
      </w:r>
    </w:p>
    <w:p>
      <w:pPr>
        <w:spacing w:line="570" w:lineRule="exact"/>
        <w:ind w:firstLine="640"/>
      </w:pPr>
      <w:r>
        <w:rPr>
          <w:rFonts w:hint="eastAsia"/>
        </w:rPr>
        <w:t>同时也要清醒看到，水城经济发展不平衡不充分的问题仍然突出，经济总量仍然偏小，产业体系不够健全，创新能力较弱，人才支撑不足，民生保障、生态环保、社会治理等还有短板弱项。综合判断，撤县设区对水城发展具有里程碑意义，标志着水城从城镇到中心城区转型，必须牢牢抓住撤县设区的发展契机，实现跨越式发展。必须准确识变、科学应变、主动求变，坚持问题导向补短板，发挥后发优势谋发展，为全面建设社会主义现代化开好局、起好步</w:t>
      </w:r>
      <w:r>
        <w:t>。</w:t>
      </w:r>
    </w:p>
    <w:p>
      <w:pPr>
        <w:pStyle w:val="6"/>
        <w:spacing w:before="222"/>
      </w:pPr>
      <w:bookmarkStart w:id="8" w:name="_Toc63250047"/>
      <w:r>
        <w:rPr>
          <w:rFonts w:hint="eastAsia"/>
        </w:rPr>
        <w:t>第二章 总体要求</w:t>
      </w:r>
      <w:bookmarkEnd w:id="8"/>
    </w:p>
    <w:p>
      <w:pPr>
        <w:spacing w:line="570" w:lineRule="exact"/>
        <w:ind w:firstLine="640"/>
      </w:pPr>
      <w:bookmarkStart w:id="9" w:name="_Hlk51577840"/>
      <w:r>
        <w:rPr>
          <w:rFonts w:hint="eastAsia" w:cs="仿宋_GB2312"/>
          <w:szCs w:val="32"/>
        </w:rPr>
        <w:t>坚持以习近平新时代中国特色社会主义思想为指导，高举中国特色社会主义伟大旗帜，全面贯彻党的十九大和十九届二中、三中、四中、五中全会精神，深入贯彻落实习近平总书记对贵州工作重要指示精神，认真贯彻落实省委十二届历次全会、市委七届历次全会、县委七届历次全会、</w:t>
      </w:r>
      <w:r>
        <w:rPr>
          <w:rFonts w:cs="仿宋_GB2312"/>
          <w:szCs w:val="32"/>
        </w:rPr>
        <w:t>区委一届一次党代会精神，</w:t>
      </w:r>
      <w:r>
        <w:rPr>
          <w:rFonts w:hint="eastAsia" w:cs="仿宋_GB2312"/>
          <w:szCs w:val="32"/>
        </w:rPr>
        <w:t>全面贯彻党的基本理论、基本路线、基本方略，统筹推进“五位一体”总体布局，协调推进“四个全面”战略布局，立足新发展阶段，贯彻新发展理念，融入新发展格局，坚持稳中求进工作总基调，</w:t>
      </w:r>
      <w:r>
        <w:rPr>
          <w:rFonts w:hint="eastAsia" w:ascii="黑体" w:hAnsi="黑体" w:eastAsia="黑体" w:cs="黑体"/>
          <w:szCs w:val="32"/>
        </w:rPr>
        <w:t>以高质量发展统揽全局，牢牢守好发展和生态两条底线，深入实施乡村振兴、大数据、大生态三大战略行动，大力推进新型工业化、新型城镇化、农业现代化、旅游产业化，在新时代西部大开发上闯新路，在乡村振兴上开新局，在实施数字经济战略上抢新机，在生态文明建设上出新绩，着力打造转型升级新样板、厚植区域竞争新优势、构筑对外开放新高地、提升市域治理新效能、开启幸福六盘水新生活，乘势而上打造“</w:t>
      </w:r>
      <w:r>
        <w:rPr>
          <w:rFonts w:hint="eastAsia" w:ascii="黑体" w:hAnsi="黑体" w:eastAsia="黑体" w:cs="黑体"/>
          <w:szCs w:val="32"/>
          <w:lang w:eastAsia="zh-CN"/>
        </w:rPr>
        <w:t>康养水城</w:t>
      </w:r>
      <w:r>
        <w:rPr>
          <w:rFonts w:hint="eastAsia" w:ascii="黑体" w:hAnsi="黑体" w:eastAsia="黑体" w:cs="黑体"/>
          <w:szCs w:val="32"/>
        </w:rPr>
        <w:t>”</w:t>
      </w:r>
      <w:r>
        <w:rPr>
          <w:rFonts w:ascii="黑体" w:hAnsi="黑体" w:eastAsia="黑体" w:cs="黑体"/>
          <w:szCs w:val="32"/>
        </w:rPr>
        <w:t>升级版，</w:t>
      </w:r>
      <w:r>
        <w:rPr>
          <w:rFonts w:hint="eastAsia" w:ascii="黑体" w:hAnsi="黑体" w:eastAsia="黑体" w:cs="黑体"/>
          <w:szCs w:val="32"/>
        </w:rPr>
        <w:t>奋力开创产业兴百姓富生态美的</w:t>
      </w:r>
      <w:r>
        <w:rPr>
          <w:rFonts w:hint="eastAsia" w:ascii="黑体" w:hAnsi="黑体" w:eastAsia="黑体" w:cs="黑体"/>
          <w:szCs w:val="32"/>
          <w:lang w:eastAsia="zh-CN"/>
        </w:rPr>
        <w:t>康养水城</w:t>
      </w:r>
      <w:r>
        <w:rPr>
          <w:rFonts w:hint="eastAsia" w:ascii="黑体" w:hAnsi="黑体" w:eastAsia="黑体" w:cs="黑体"/>
          <w:szCs w:val="32"/>
        </w:rPr>
        <w:t>新未来</w:t>
      </w:r>
      <w:r>
        <w:t>。</w:t>
      </w:r>
      <w:bookmarkEnd w:id="9"/>
    </w:p>
    <w:p>
      <w:pPr>
        <w:pStyle w:val="6"/>
        <w:spacing w:before="222"/>
      </w:pPr>
      <w:bookmarkStart w:id="10" w:name="_Toc63250048"/>
      <w:r>
        <w:rPr>
          <w:rFonts w:hint="eastAsia"/>
        </w:rPr>
        <w:t>第三章 基本原则</w:t>
      </w:r>
      <w:bookmarkEnd w:id="10"/>
    </w:p>
    <w:p>
      <w:pPr>
        <w:spacing w:line="570" w:lineRule="exact"/>
        <w:ind w:firstLine="640"/>
      </w:pPr>
      <w:r>
        <w:rPr>
          <w:rFonts w:hint="eastAsia"/>
        </w:rPr>
        <w:t>——坚持党的领导，贯彻从严治党要求。必须始终深入贯彻习近平新时代中国特色社会主义思想，坚决贯彻习近平总书记对贵州工作的系列重要指示批示精神，坚决落实党中央、省委、市委的重大决策部署。坚持党的领导地位不放松，充分发挥党的领导核心作用，认真落实从严治党责任，不断提高党的执政能力和执政水平，牢记嘱托、感恩奋进，不断推动水城经济社会全面发展。</w:t>
      </w:r>
    </w:p>
    <w:p>
      <w:pPr>
        <w:spacing w:line="570" w:lineRule="exact"/>
        <w:ind w:firstLine="640"/>
      </w:pPr>
      <w:r>
        <w:rPr>
          <w:rFonts w:hint="eastAsia"/>
        </w:rPr>
        <w:t>——坚持以人为本，贯彻共建、共享理念。坚持以人民为中心，坚持发展为了人民、发展依靠人民、发展成果由人民共享。把以人为本作为工作的出发点和落脚点，使全区人民广泛参与发展过程，充分共享发展成果。聚焦群众所急所需所盼的民生实事，强化普惠性、基础性、兜底性，综合考虑经济发展阶段和财力支撑能力，精准发力、久久为功，在幼有善育、学有优教、劳有厚得、病有良医、老有颐养、住有宜居、弱有众扶上不断取得新发展，推动改革发展成果更多更公平惠及全区人民。</w:t>
      </w:r>
    </w:p>
    <w:p>
      <w:pPr>
        <w:spacing w:line="570" w:lineRule="exact"/>
        <w:ind w:firstLine="640"/>
      </w:pPr>
      <w:r>
        <w:rPr>
          <w:rFonts w:hint="eastAsia"/>
        </w:rPr>
        <w:t>——坚持生态优先，贯彻绿色、协调理念。充分挖掘水城的生态资源优势，把国家政策指引和水城发展实际结合起来，把发展机遇与特色优势结合起来，通过引入市场机制，构建生态资源的价值实现机制，促进生态资源的保护性开发，坚持走生态优先、城乡一体、生态良好、物质文明、精神文明和生态文明并重的发展道路，形成人与自然和谐发展格局。</w:t>
      </w:r>
    </w:p>
    <w:p>
      <w:pPr>
        <w:spacing w:line="570" w:lineRule="exact"/>
        <w:ind w:firstLine="640"/>
      </w:pPr>
      <w:r>
        <w:rPr>
          <w:rFonts w:hint="eastAsia"/>
        </w:rPr>
        <w:t>——坚持深化改革，贯彻创新、开放理念。积极参与以国内大循环为主体、国内国际双循环相互促进的新发展格局，重视本地市场、省内市场和全国市场的开发，通过深化改革激发新发展活力，通过创新催生新发展动能。既要刀刃向内以我为主，充分发挥比较优势打牢发展基础，又要扩大高水平开放，创新参与对外合作竞争，主动融入全省、全国乃至全球的发展大潮流中去，着力塑造新优势，拓展发展新空间。</w:t>
      </w:r>
    </w:p>
    <w:p>
      <w:pPr>
        <w:spacing w:line="570" w:lineRule="exact"/>
        <w:ind w:firstLine="643"/>
      </w:pPr>
      <w:r>
        <w:rPr>
          <w:rFonts w:hint="eastAsia"/>
          <w:b/>
          <w:bCs/>
        </w:rPr>
        <w:t>——</w:t>
      </w:r>
      <w:r>
        <w:rPr>
          <w:rFonts w:hint="eastAsia"/>
        </w:rPr>
        <w:t>坚持转型引领，贯彻提质、高效理念。充分发挥市场配置资源的决定性作用，着力建设高效廉洁的服务型政府，聚焦主导产业，加快培育新兴产业，改造提升传统产业，大力发展现代服务业，实现经济量的快速增长与质的稳步提升。既要推动资源配置依据市场规则、市场竞争实现效益最大化和效率最优化，又要加强政府服务市场的有效作为，着力营造国内一流营商环境，切实稳定市场预期，确保市场体系“活”而不乱。</w:t>
      </w:r>
    </w:p>
    <w:p>
      <w:pPr>
        <w:spacing w:line="570" w:lineRule="exact"/>
        <w:ind w:firstLine="640"/>
      </w:pPr>
      <w:r>
        <w:rPr>
          <w:rFonts w:hint="eastAsia"/>
        </w:rPr>
        <w:t>——坚持统筹兼顾，贯彻稳定、韧性理念。加强顶层设计，立足当前，着眼长远，牢固树立战略思维，把解决当前问题与长远发展结合起来，强化忧患意识和底线思维，紧紧围绕筑牢实体经济根基，加固发展底板、补齐韧性短板、厚植竞争优势，全面提升应对外部环境变化的抗冲击能力、自主修复能力和调整转型能力。正确处理好速度与质量、民生与经济、</w:t>
      </w:r>
      <w:r>
        <w:t>重点突破与分类指导、</w:t>
      </w:r>
      <w:r>
        <w:rPr>
          <w:rFonts w:hint="eastAsia"/>
        </w:rPr>
        <w:t>顶层设计</w:t>
      </w:r>
      <w:r>
        <w:t>与</w:t>
      </w:r>
      <w:r>
        <w:rPr>
          <w:rFonts w:hint="eastAsia"/>
        </w:rPr>
        <w:t>项目实施</w:t>
      </w:r>
      <w:r>
        <w:t>等重大</w:t>
      </w:r>
      <w:r>
        <w:rPr>
          <w:rFonts w:hint="eastAsia"/>
        </w:rPr>
        <w:t>关系。</w:t>
      </w:r>
    </w:p>
    <w:p>
      <w:pPr>
        <w:pStyle w:val="6"/>
        <w:spacing w:before="222"/>
      </w:pPr>
      <w:bookmarkStart w:id="11" w:name="_Toc63250049"/>
      <w:r>
        <w:rPr>
          <w:rFonts w:hint="eastAsia"/>
        </w:rPr>
        <w:t>第四章 主要目标</w:t>
      </w:r>
      <w:bookmarkEnd w:id="11"/>
    </w:p>
    <w:p>
      <w:pPr>
        <w:spacing w:line="570" w:lineRule="exact"/>
        <w:ind w:firstLine="640"/>
      </w:pPr>
      <w:r>
        <w:rPr>
          <w:rFonts w:hint="eastAsia"/>
        </w:rPr>
        <w:t>综合考虑水城的发展基础、发展态势和发展诉求，“十四五”时期水城发展的总体目标是：经济社会高质量发展取得新突破，实现质的稳步提升、量的快速增长。</w:t>
      </w:r>
    </w:p>
    <w:p>
      <w:pPr>
        <w:spacing w:line="570" w:lineRule="exact"/>
        <w:ind w:firstLine="640"/>
      </w:pPr>
      <w:r>
        <w:t>——</w:t>
      </w:r>
      <w:r>
        <w:rPr>
          <w:rFonts w:ascii="黑体" w:hAnsi="黑体" w:eastAsia="黑体"/>
        </w:rPr>
        <w:t>经济综合实力取得大突破</w:t>
      </w:r>
      <w:r>
        <w:t>。围绕贯彻新发展理念、推动高质量发展、构建新发展格局，持续推动经济规模和效益提升，到2025年实现地区生产总值突破500亿元，区域经济实力持续壮大。经济结构更加优化，现代化经济体系加快建设，在质量效益明显提升的基础上实现经济持续健康发展，建设</w:t>
      </w:r>
      <w:r>
        <w:rPr>
          <w:rFonts w:hint="eastAsia"/>
          <w:lang w:eastAsia="zh-CN"/>
        </w:rPr>
        <w:t>康养水城</w:t>
      </w:r>
      <w:r>
        <w:t>的物质基础更加坚实。</w:t>
      </w:r>
    </w:p>
    <w:p>
      <w:pPr>
        <w:spacing w:line="570" w:lineRule="exact"/>
        <w:ind w:firstLine="640"/>
      </w:pPr>
      <w:r>
        <w:rPr>
          <w:rFonts w:hint="eastAsia"/>
        </w:rPr>
        <w:t>——</w:t>
      </w:r>
      <w:r>
        <w:rPr>
          <w:rFonts w:hint="eastAsia" w:ascii="黑体" w:hAnsi="黑体" w:eastAsia="黑体"/>
        </w:rPr>
        <w:t>产业转型升级取得大突破</w:t>
      </w:r>
      <w:r>
        <w:rPr>
          <w:rFonts w:hint="eastAsia"/>
        </w:rPr>
        <w:t>。创新能力显著提升，产业基础高级化、产业链现代化水平明显提高。传统产业转型升级取得重大进展，煤炭产量开创历史新高，铝产业形成全产业链和集群发展，玄武岩纤维新材料、锰锂新能源等新兴产业形成新的增长极，山地特色经济持续发展壮大，基本形成高质量发展的富民型现代产业体系，建成具有全国影响力的产业转型升级示范区。</w:t>
      </w:r>
    </w:p>
    <w:p>
      <w:pPr>
        <w:spacing w:line="570" w:lineRule="exact"/>
        <w:ind w:firstLine="640"/>
      </w:pPr>
      <w:r>
        <w:rPr>
          <w:rFonts w:hint="eastAsia"/>
        </w:rPr>
        <w:t>——</w:t>
      </w:r>
      <w:r>
        <w:rPr>
          <w:rFonts w:hint="eastAsia" w:ascii="黑体" w:hAnsi="黑体" w:eastAsia="黑体"/>
        </w:rPr>
        <w:t>城乡融合发展取得大突破</w:t>
      </w:r>
      <w:r>
        <w:rPr>
          <w:rFonts w:hint="eastAsia"/>
        </w:rPr>
        <w:t>。脱贫攻坚成果巩固拓展，乡村振兴战略有序推进，城乡区域协调发展明显增强，城市规模持续做大，城市功能持续完善，城市经济持续做强，成为市中心城区高颜值、高气质、高品质的水城组团。常住人口城镇化率达</w:t>
      </w:r>
      <w:r>
        <w:t>60%以上，中心城区集聚人口30万人以上。</w:t>
      </w:r>
    </w:p>
    <w:p>
      <w:pPr>
        <w:spacing w:line="570" w:lineRule="exact"/>
        <w:ind w:firstLine="640"/>
      </w:pPr>
      <w:r>
        <w:rPr>
          <w:rFonts w:hint="eastAsia"/>
        </w:rPr>
        <w:t>——</w:t>
      </w:r>
      <w:r>
        <w:rPr>
          <w:rFonts w:hint="eastAsia" w:ascii="黑体" w:hAnsi="黑体" w:eastAsia="黑体"/>
        </w:rPr>
        <w:t>生态文明建设取得大突破</w:t>
      </w:r>
      <w:r>
        <w:rPr>
          <w:rFonts w:hint="eastAsia"/>
        </w:rPr>
        <w:t>。国土空间开发保护格局不断优化，生态环境质量改善成效得到巩固，绿色生产生活方式加快形成，能源资源配置更加合理、利用效率大幅提高，两江上游绿色屏障更加牢固，高质量构建绿色发展体系。</w:t>
      </w:r>
      <w:r>
        <w:t>森林覆盖率达到65%以上。</w:t>
      </w:r>
    </w:p>
    <w:p>
      <w:pPr>
        <w:spacing w:line="570" w:lineRule="exact"/>
        <w:ind w:firstLine="640"/>
      </w:pPr>
      <w:r>
        <w:rPr>
          <w:rFonts w:hint="eastAsia"/>
        </w:rPr>
        <w:t>——</w:t>
      </w:r>
      <w:r>
        <w:rPr>
          <w:rFonts w:hint="eastAsia" w:ascii="黑体" w:hAnsi="黑体" w:eastAsia="黑体"/>
        </w:rPr>
        <w:t>改革开放创新取得大突破</w:t>
      </w:r>
      <w:r>
        <w:rPr>
          <w:rFonts w:hint="eastAsia"/>
        </w:rPr>
        <w:t>。全面深化改革持续深入推进，市场主体更加充满活力，产权制度改革和要素市场化配置改革取得重大进展，开放型经济发展水平不断提高，营商环境更加优化，更高水平开放型经济体系基本形成。</w:t>
      </w:r>
    </w:p>
    <w:p>
      <w:pPr>
        <w:spacing w:line="570" w:lineRule="exact"/>
        <w:ind w:firstLine="640"/>
      </w:pPr>
      <w:r>
        <w:rPr>
          <w:rFonts w:hint="eastAsia"/>
        </w:rPr>
        <w:t>——</w:t>
      </w:r>
      <w:r>
        <w:rPr>
          <w:rFonts w:hint="eastAsia" w:ascii="黑体" w:hAnsi="黑体" w:eastAsia="黑体"/>
        </w:rPr>
        <w:t>社会治理能力取得大突破</w:t>
      </w:r>
      <w:r>
        <w:rPr>
          <w:rFonts w:hint="eastAsia"/>
        </w:rPr>
        <w:t>。民主法治建设取得积极进展，社会公平正义进一步彰显，各类风险总体可控，突发公共事件应急能力显著增强，自然灾害防御水平明显提升，社会治理能力和治理水平全面提高，人民群众安全感、满意度保持较高水平。</w:t>
      </w:r>
    </w:p>
    <w:p>
      <w:pPr>
        <w:spacing w:line="570" w:lineRule="exact"/>
        <w:ind w:firstLine="640"/>
      </w:pPr>
      <w:r>
        <w:rPr>
          <w:rFonts w:hint="eastAsia"/>
        </w:rPr>
        <w:t>——</w:t>
      </w:r>
      <w:r>
        <w:rPr>
          <w:rFonts w:hint="eastAsia" w:ascii="黑体" w:hAnsi="黑体" w:eastAsia="黑体"/>
        </w:rPr>
        <w:t>社会文明程度取得大突破</w:t>
      </w:r>
      <w:r>
        <w:rPr>
          <w:rFonts w:hint="eastAsia"/>
        </w:rPr>
        <w:t>。习近平新时代中国特色社会主义思想深入人心，社会主义核心价值观融入社会发展各方面，人民思想道德素质、科学文化素质和身心健康素质明显提高。红色文化、“三线”文化、民族文化等不断传承发展，公共文化服务体系和文化产业体系更加健全，人民精神文化生活日益丰富。</w:t>
      </w:r>
      <w:r>
        <w:t xml:space="preserve"> </w:t>
      </w:r>
    </w:p>
    <w:p>
      <w:pPr>
        <w:spacing w:line="570" w:lineRule="exact"/>
        <w:ind w:firstLine="640"/>
      </w:pPr>
      <w:r>
        <w:rPr>
          <w:rFonts w:hint="eastAsia"/>
        </w:rPr>
        <w:t>——</w:t>
      </w:r>
      <w:r>
        <w:rPr>
          <w:rFonts w:hint="eastAsia" w:ascii="黑体" w:hAnsi="黑体" w:eastAsia="黑体"/>
        </w:rPr>
        <w:t>人民生活品质取得大突破</w:t>
      </w:r>
      <w:r>
        <w:rPr>
          <w:rFonts w:hint="eastAsia"/>
        </w:rPr>
        <w:t>。实现更加充分更高质量就业，居民收入增长和经济增长基本同步，城乡居民收入差距逐步缩小，住房、医疗、教育、文化等基本公共服务均等化水平明显提高，多层次社会保障体系更加健全，脱贫攻坚成果巩固拓展，乡村振兴全面推进，不断实现人民对美好生活的向往。</w:t>
      </w:r>
      <w:r>
        <w:t xml:space="preserve"> </w:t>
      </w:r>
    </w:p>
    <w:p>
      <w:pPr>
        <w:spacing w:line="570" w:lineRule="exact"/>
        <w:ind w:firstLine="640"/>
      </w:pPr>
      <w:r>
        <w:rPr>
          <w:rFonts w:hint="eastAsia"/>
        </w:rPr>
        <w:t>展望二</w:t>
      </w:r>
      <w:r>
        <w:rPr>
          <w:rFonts w:hint="eastAsia" w:ascii="微软雅黑" w:hAnsi="微软雅黑" w:eastAsia="微软雅黑" w:cs="微软雅黑"/>
        </w:rPr>
        <w:t>〇</w:t>
      </w:r>
      <w:r>
        <w:rPr>
          <w:rFonts w:hint="eastAsia" w:cs="仿宋_GB2312"/>
        </w:rPr>
        <w:t>三五年，水城将与全国全省全市同步基本实现社会主义现代化，建成经济更加发达、环境更加优美、文化更加繁荣、社会更加和谐、生活更加美好、人民更加幸福的</w:t>
      </w:r>
      <w:r>
        <w:rPr>
          <w:rFonts w:hint="eastAsia" w:cs="仿宋_GB2312"/>
          <w:lang w:eastAsia="zh-CN"/>
        </w:rPr>
        <w:t>康养水城</w:t>
      </w:r>
      <w:r>
        <w:rPr>
          <w:rFonts w:hint="eastAsia" w:cs="仿宋_GB2312"/>
        </w:rPr>
        <w:t>。经济综合实力达到全国平均水平，进入全省前列；基本实现新型工业化、信息化、城镇化、农业农村现代化，建成现代化经济体系；国民素质和社会文明程度达到新高度，文化软实力显著增强；广泛形成绿色生产生活方式，生态文明建设达到更高水平；基本公共服务、基础设施通达程度、人民生活水平达到全省平均水平，基本实现治理体系和治理能力现代化</w:t>
      </w:r>
      <w:r>
        <w:rPr>
          <w:rFonts w:hint="eastAsia"/>
        </w:rPr>
        <w:t>。</w:t>
      </w:r>
    </w:p>
    <w:p>
      <w:pPr>
        <w:adjustRightInd w:val="0"/>
        <w:snapToGrid w:val="0"/>
        <w:spacing w:line="240" w:lineRule="atLeast"/>
        <w:ind w:firstLine="0" w:firstLineChars="0"/>
        <w:jc w:val="center"/>
        <w:rPr>
          <w:rFonts w:ascii="黑体" w:hAnsi="黑体" w:eastAsia="黑体"/>
          <w:bCs/>
          <w:color w:val="000000"/>
          <w:sz w:val="26"/>
          <w:szCs w:val="26"/>
        </w:rPr>
      </w:pPr>
    </w:p>
    <w:p>
      <w:pPr>
        <w:adjustRightInd w:val="0"/>
        <w:snapToGrid w:val="0"/>
        <w:spacing w:line="240" w:lineRule="atLeast"/>
        <w:ind w:firstLine="0" w:firstLineChars="0"/>
        <w:jc w:val="center"/>
        <w:rPr>
          <w:rFonts w:ascii="黑体" w:hAnsi="黑体" w:eastAsia="黑体"/>
          <w:bCs/>
          <w:color w:val="000000"/>
          <w:sz w:val="26"/>
          <w:szCs w:val="26"/>
        </w:rPr>
      </w:pPr>
    </w:p>
    <w:p>
      <w:pPr>
        <w:adjustRightInd w:val="0"/>
        <w:snapToGrid w:val="0"/>
        <w:spacing w:line="240" w:lineRule="atLeast"/>
        <w:ind w:firstLine="0" w:firstLineChars="0"/>
        <w:jc w:val="center"/>
        <w:rPr>
          <w:rFonts w:ascii="黑体" w:hAnsi="黑体" w:eastAsia="黑体"/>
          <w:bCs/>
          <w:color w:val="000000"/>
          <w:sz w:val="26"/>
          <w:szCs w:val="26"/>
        </w:rPr>
      </w:pPr>
    </w:p>
    <w:p>
      <w:pPr>
        <w:adjustRightInd w:val="0"/>
        <w:snapToGrid w:val="0"/>
        <w:spacing w:line="240" w:lineRule="atLeast"/>
        <w:ind w:firstLine="0" w:firstLineChars="0"/>
        <w:jc w:val="center"/>
        <w:rPr>
          <w:rFonts w:ascii="黑体" w:hAnsi="黑体" w:eastAsia="黑体"/>
          <w:bCs/>
          <w:color w:val="000000"/>
          <w:sz w:val="26"/>
          <w:szCs w:val="26"/>
        </w:rPr>
      </w:pPr>
    </w:p>
    <w:p>
      <w:pPr>
        <w:pStyle w:val="2"/>
        <w:rPr>
          <w:rFonts w:eastAsia="黑体"/>
        </w:rPr>
      </w:pPr>
    </w:p>
    <w:tbl>
      <w:tblPr>
        <w:tblStyle w:val="15"/>
        <w:tblpPr w:leftFromText="180" w:rightFromText="180" w:vertAnchor="text" w:horzAnchor="margin" w:tblpY="96"/>
        <w:tblOverlap w:val="never"/>
        <w:tblW w:w="8784" w:type="dxa"/>
        <w:tblInd w:w="0" w:type="dxa"/>
        <w:tblLayout w:type="fixed"/>
        <w:tblCellMar>
          <w:top w:w="0" w:type="dxa"/>
          <w:left w:w="0" w:type="dxa"/>
          <w:bottom w:w="0" w:type="dxa"/>
          <w:right w:w="0" w:type="dxa"/>
        </w:tblCellMar>
      </w:tblPr>
      <w:tblGrid>
        <w:gridCol w:w="441"/>
        <w:gridCol w:w="283"/>
        <w:gridCol w:w="567"/>
        <w:gridCol w:w="2835"/>
        <w:gridCol w:w="851"/>
        <w:gridCol w:w="708"/>
        <w:gridCol w:w="1276"/>
        <w:gridCol w:w="1114"/>
        <w:gridCol w:w="709"/>
      </w:tblGrid>
      <w:tr>
        <w:tblPrEx>
          <w:tblCellMar>
            <w:top w:w="0" w:type="dxa"/>
            <w:left w:w="0" w:type="dxa"/>
            <w:bottom w:w="0" w:type="dxa"/>
            <w:right w:w="0" w:type="dxa"/>
          </w:tblCellMar>
        </w:tblPrEx>
        <w:trPr>
          <w:trHeight w:val="560" w:hRule="atLeast"/>
          <w:tblHeader/>
        </w:trPr>
        <w:tc>
          <w:tcPr>
            <w:tcW w:w="87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jc w:val="center"/>
              <w:rPr>
                <w:rFonts w:ascii="楷体" w:hAnsi="楷体" w:eastAsia="楷体"/>
                <w:b/>
                <w:color w:val="000000"/>
                <w:sz w:val="18"/>
                <w:szCs w:val="18"/>
              </w:rPr>
            </w:pPr>
            <w:r>
              <w:rPr>
                <w:rFonts w:hint="eastAsia" w:ascii="楷体" w:hAnsi="楷体" w:eastAsia="楷体" w:cs="Times New Roman"/>
                <w:bCs/>
                <w:color w:val="000000"/>
                <w:kern w:val="2"/>
                <w:sz w:val="26"/>
                <w:szCs w:val="26"/>
              </w:rPr>
              <w:t>专栏2 六盘水市水城区“十四五”规划主要指标计划表</w:t>
            </w:r>
          </w:p>
        </w:tc>
      </w:tr>
      <w:tr>
        <w:tblPrEx>
          <w:tblCellMar>
            <w:top w:w="0" w:type="dxa"/>
            <w:left w:w="0" w:type="dxa"/>
            <w:bottom w:w="0" w:type="dxa"/>
            <w:right w:w="0" w:type="dxa"/>
          </w:tblCellMar>
        </w:tblPrEx>
        <w:trPr>
          <w:trHeight w:val="560" w:hRule="atLeast"/>
          <w:tblHeader/>
        </w:trPr>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adjustRightInd w:val="0"/>
              <w:snapToGrid w:val="0"/>
              <w:spacing w:line="240" w:lineRule="atLeas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类别</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序号</w:t>
            </w:r>
          </w:p>
        </w:tc>
        <w:tc>
          <w:tcPr>
            <w:tcW w:w="3402"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指标名称</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单位</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2020年</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2025年</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年均增长</w:t>
            </w:r>
          </w:p>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color w:val="000000"/>
                <w:kern w:val="0"/>
                <w:sz w:val="18"/>
                <w:szCs w:val="18"/>
              </w:rPr>
            </w:pPr>
            <w:r>
              <w:rPr>
                <w:rFonts w:hint="eastAsia" w:hAnsi="宋体"/>
                <w:b/>
                <w:color w:val="000000"/>
                <w:kern w:val="0"/>
                <w:sz w:val="18"/>
                <w:szCs w:val="18"/>
              </w:rPr>
              <w:t>属性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p>
            <w:pPr>
              <w:pStyle w:val="2"/>
              <w:adjustRightInd w:val="0"/>
              <w:snapToGrid w:val="0"/>
              <w:spacing w:line="240" w:lineRule="atLeast"/>
              <w:rPr>
                <w:rFonts w:ascii="仿宋_GB2312" w:hAnsi="宋体" w:eastAsia="仿宋_GB2312" w:cs="Times New Roman"/>
                <w:b/>
                <w:bCs/>
                <w:color w:val="000000"/>
                <w:sz w:val="18"/>
                <w:szCs w:val="18"/>
              </w:rPr>
            </w:pP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综</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合</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经</w:t>
            </w:r>
          </w:p>
          <w:p>
            <w:pPr>
              <w:widowControl/>
              <w:adjustRightInd w:val="0"/>
              <w:snapToGrid w:val="0"/>
              <w:spacing w:line="240" w:lineRule="atLeast"/>
              <w:ind w:firstLine="0" w:firstLineChars="0"/>
              <w:jc w:val="center"/>
              <w:textAlignment w:val="center"/>
              <w:rPr>
                <w:rFonts w:hAnsi="宋体"/>
                <w:b/>
                <w:bCs/>
                <w:color w:val="000000"/>
                <w:sz w:val="18"/>
                <w:szCs w:val="18"/>
              </w:rPr>
            </w:pPr>
            <w:r>
              <w:rPr>
                <w:rFonts w:hint="eastAsia" w:hAnsi="宋体"/>
                <w:b/>
                <w:bCs/>
                <w:color w:val="000000"/>
                <w:kern w:val="0"/>
                <w:sz w:val="18"/>
                <w:szCs w:val="18"/>
              </w:rPr>
              <w:t>济</w:t>
            </w:r>
          </w:p>
          <w:p>
            <w:pPr>
              <w:widowControl/>
              <w:adjustRightInd w:val="0"/>
              <w:snapToGrid w:val="0"/>
              <w:spacing w:line="240" w:lineRule="atLeast"/>
              <w:ind w:firstLine="0" w:firstLineChars="0"/>
              <w:jc w:val="center"/>
              <w:textAlignment w:val="center"/>
              <w:rPr>
                <w:rFonts w:hAnsi="宋体"/>
                <w:b/>
                <w:bCs/>
                <w:color w:val="000000"/>
                <w:kern w:val="0"/>
                <w:sz w:val="18"/>
                <w:szCs w:val="18"/>
              </w:rPr>
            </w:pPr>
          </w:p>
          <w:p>
            <w:pPr>
              <w:widowControl/>
              <w:adjustRightInd w:val="0"/>
              <w:snapToGrid w:val="0"/>
              <w:spacing w:line="240" w:lineRule="atLeast"/>
              <w:ind w:firstLine="0" w:firstLineChars="0"/>
              <w:textAlignment w:val="center"/>
              <w:rPr>
                <w:rFonts w:hAnsi="宋体"/>
                <w:b/>
                <w:bCs/>
                <w:color w:val="000000"/>
                <w:kern w:val="0"/>
                <w:sz w:val="18"/>
                <w:szCs w:val="18"/>
              </w:rPr>
            </w:pPr>
          </w:p>
        </w:tc>
        <w:tc>
          <w:tcPr>
            <w:tcW w:w="283"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w:t>
            </w:r>
          </w:p>
        </w:tc>
        <w:tc>
          <w:tcPr>
            <w:tcW w:w="3402"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地区生产总值</w:t>
            </w:r>
          </w:p>
        </w:tc>
        <w:tc>
          <w:tcPr>
            <w:tcW w:w="8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325.07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504</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w:t>
            </w:r>
          </w:p>
        </w:tc>
        <w:tc>
          <w:tcPr>
            <w:tcW w:w="7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vMerge w:val="continue"/>
            <w:tcBorders>
              <w:left w:val="single" w:color="000000" w:sz="4" w:space="0"/>
              <w:right w:val="single" w:color="auto"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c>
          <w:tcPr>
            <w:tcW w:w="3402"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第一产业</w:t>
            </w:r>
          </w:p>
        </w:tc>
        <w:tc>
          <w:tcPr>
            <w:tcW w:w="8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48.77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79</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w:t>
            </w:r>
          </w:p>
        </w:tc>
        <w:tc>
          <w:tcPr>
            <w:tcW w:w="709"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vMerge w:val="continue"/>
            <w:tcBorders>
              <w:left w:val="single" w:color="000000" w:sz="4" w:space="0"/>
              <w:right w:val="single" w:color="auto"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c>
          <w:tcPr>
            <w:tcW w:w="3402"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规模以上工业增加值（2000万元口径）</w:t>
            </w:r>
          </w:p>
        </w:tc>
        <w:tc>
          <w:tcPr>
            <w:tcW w:w="8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8左右</w:t>
            </w:r>
          </w:p>
        </w:tc>
        <w:tc>
          <w:tcPr>
            <w:tcW w:w="709"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vMerge w:val="continue"/>
            <w:tcBorders>
              <w:left w:val="single" w:color="000000" w:sz="4" w:space="0"/>
              <w:right w:val="single" w:color="auto"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c>
          <w:tcPr>
            <w:tcW w:w="3402"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第二产业</w:t>
            </w:r>
          </w:p>
        </w:tc>
        <w:tc>
          <w:tcPr>
            <w:tcW w:w="8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179.17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281</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w:t>
            </w:r>
          </w:p>
        </w:tc>
        <w:tc>
          <w:tcPr>
            <w:tcW w:w="709"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textAlignment w:val="center"/>
              <w:rPr>
                <w:rFonts w:hAnsi="宋体"/>
                <w:color w:val="000000"/>
                <w:kern w:val="0"/>
                <w:sz w:val="18"/>
                <w:szCs w:val="18"/>
              </w:rPr>
            </w:pP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c>
          <w:tcPr>
            <w:tcW w:w="3402"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第三产业</w:t>
            </w:r>
          </w:p>
        </w:tc>
        <w:tc>
          <w:tcPr>
            <w:tcW w:w="8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97.13</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144</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7.8</w:t>
            </w:r>
          </w:p>
        </w:tc>
        <w:tc>
          <w:tcPr>
            <w:tcW w:w="7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w:t>
            </w:r>
          </w:p>
        </w:tc>
        <w:tc>
          <w:tcPr>
            <w:tcW w:w="3402" w:type="dxa"/>
            <w:gridSpan w:val="2"/>
            <w:tcBorders>
              <w:top w:val="single" w:color="auto"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人均地区生产总值</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42860</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70000左右</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常住人口城镇化率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45.1</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一般公共预算收入</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13.0047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Ansi="宋体"/>
                <w:color w:val="000000"/>
                <w:kern w:val="0"/>
                <w:sz w:val="18"/>
                <w:szCs w:val="18"/>
              </w:rPr>
              <w:t>16.5771</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Ansi="宋体"/>
                <w:color w:val="000000"/>
                <w:kern w:val="0"/>
                <w:sz w:val="18"/>
                <w:szCs w:val="18"/>
              </w:rPr>
              <w:t>5</w:t>
            </w:r>
            <w:r>
              <w:rPr>
                <w:rFonts w:hint="eastAsia" w:hAnsi="宋体"/>
                <w:color w:val="000000"/>
                <w:kern w:val="0"/>
                <w:sz w:val="18"/>
                <w:szCs w:val="18"/>
              </w:rPr>
              <w:t>左右</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5</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固定资产投资增速（500万元口径）</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6左右</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社会消费品零售总额增长</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8.1</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8左右</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themeColor="text1"/>
                <w:kern w:val="0"/>
                <w:sz w:val="18"/>
                <w:szCs w:val="18"/>
                <w14:textFill>
                  <w14:solidFill>
                    <w14:schemeClr w14:val="tx1"/>
                  </w14:solidFill>
                </w14:textFill>
              </w:rPr>
              <w:t>全员劳动生产率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万元/人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10左右</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转</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型</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升</w:t>
            </w:r>
          </w:p>
          <w:p>
            <w:pPr>
              <w:widowControl/>
              <w:adjustRightInd w:val="0"/>
              <w:snapToGrid w:val="0"/>
              <w:spacing w:line="240" w:lineRule="atLeast"/>
              <w:ind w:firstLine="0" w:firstLineChars="0"/>
              <w:jc w:val="center"/>
              <w:textAlignment w:val="center"/>
              <w:rPr>
                <w:rFonts w:hAnsi="宋体"/>
                <w:b/>
                <w:bCs/>
                <w:color w:val="000000"/>
                <w:sz w:val="18"/>
                <w:szCs w:val="18"/>
              </w:rPr>
            </w:pPr>
            <w:r>
              <w:rPr>
                <w:rFonts w:hint="eastAsia" w:hAnsi="宋体"/>
                <w:b/>
                <w:bCs/>
                <w:color w:val="000000"/>
                <w:kern w:val="0"/>
                <w:sz w:val="18"/>
                <w:szCs w:val="18"/>
              </w:rPr>
              <w:t>级</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themeColor="text1"/>
                <w:kern w:val="0"/>
                <w:sz w:val="18"/>
                <w:szCs w:val="18"/>
                <w14:textFill>
                  <w14:solidFill>
                    <w14:schemeClr w14:val="tx1"/>
                  </w14:solidFill>
                </w14:textFill>
              </w:rPr>
              <w:t>制造业增加值占比</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15.56</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FF0000"/>
                <w:kern w:val="0"/>
                <w:sz w:val="18"/>
                <w:szCs w:val="18"/>
              </w:rPr>
            </w:pPr>
            <w:r>
              <w:rPr>
                <w:rFonts w:hint="eastAsia" w:hAnsi="宋体"/>
                <w:kern w:val="0"/>
                <w:sz w:val="18"/>
                <w:szCs w:val="18"/>
              </w:rPr>
              <w:t>农产品加工转化率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40</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60以上</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FF0000"/>
                <w:kern w:val="0"/>
                <w:sz w:val="18"/>
                <w:szCs w:val="18"/>
              </w:rPr>
            </w:pPr>
            <w:r>
              <w:rPr>
                <w:rFonts w:hint="eastAsia" w:hAnsi="宋体"/>
                <w:kern w:val="0"/>
                <w:sz w:val="18"/>
                <w:szCs w:val="18"/>
              </w:rPr>
              <w:t>旅游产业增加值增速</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11</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R&amp;D经费支出占GDP比重</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1.3</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1.7以上</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12</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每万人发明专利拥有量</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件</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0.85</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8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1"/>
              <w:jc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13</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数字经济占比</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绿</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色</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发</w:t>
            </w:r>
          </w:p>
          <w:p>
            <w:pPr>
              <w:widowControl/>
              <w:adjustRightInd w:val="0"/>
              <w:snapToGrid w:val="0"/>
              <w:spacing w:line="240" w:lineRule="atLeast"/>
              <w:ind w:firstLine="0" w:firstLineChars="0"/>
              <w:jc w:val="center"/>
              <w:textAlignment w:val="center"/>
              <w:rPr>
                <w:rFonts w:hAnsi="宋体"/>
                <w:b/>
                <w:bCs/>
                <w:color w:val="000000"/>
                <w:sz w:val="18"/>
                <w:szCs w:val="18"/>
              </w:rPr>
            </w:pPr>
            <w:r>
              <w:rPr>
                <w:rFonts w:hint="eastAsia" w:hAnsi="宋体"/>
                <w:b/>
                <w:bCs/>
                <w:color w:val="000000"/>
                <w:kern w:val="0"/>
                <w:sz w:val="18"/>
                <w:szCs w:val="18"/>
              </w:rPr>
              <w:t>展</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14</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单位生产总值能源消耗降低</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完成省下达目标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15</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单位生产总值二氧化碳排放降低</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完成省下达目标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16</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城市空气质量达标率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99.7</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≥99.7</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17</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省控以上地表水断面达到或好于Ⅲ类地表水占比</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100</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 xml:space="preserve">100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18</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森林覆盖率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63.55</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65</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19</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绿色经济占比</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50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约束性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90" w:firstLineChars="50"/>
              <w:textAlignment w:val="center"/>
              <w:rPr>
                <w:rFonts w:hAnsi="宋体"/>
                <w:b/>
                <w:bCs/>
                <w:color w:val="000000"/>
                <w:kern w:val="0"/>
                <w:sz w:val="18"/>
                <w:szCs w:val="18"/>
              </w:rPr>
            </w:pPr>
            <w:r>
              <w:rPr>
                <w:rFonts w:hint="eastAsia" w:hAnsi="宋体"/>
                <w:b/>
                <w:bCs/>
                <w:color w:val="000000"/>
                <w:kern w:val="0"/>
                <w:sz w:val="18"/>
                <w:szCs w:val="18"/>
              </w:rPr>
              <w:t>基</w:t>
            </w:r>
          </w:p>
          <w:p>
            <w:pPr>
              <w:widowControl/>
              <w:adjustRightInd w:val="0"/>
              <w:snapToGrid w:val="0"/>
              <w:spacing w:line="240" w:lineRule="atLeast"/>
              <w:ind w:firstLine="90" w:firstLineChars="50"/>
              <w:textAlignment w:val="center"/>
              <w:rPr>
                <w:rFonts w:hAnsi="宋体"/>
                <w:b/>
                <w:bCs/>
                <w:color w:val="000000"/>
                <w:kern w:val="0"/>
                <w:sz w:val="18"/>
                <w:szCs w:val="18"/>
              </w:rPr>
            </w:pPr>
            <w:r>
              <w:rPr>
                <w:rFonts w:hint="eastAsia" w:hAnsi="宋体"/>
                <w:b/>
                <w:bCs/>
                <w:color w:val="000000"/>
                <w:kern w:val="0"/>
                <w:sz w:val="18"/>
                <w:szCs w:val="18"/>
              </w:rPr>
              <w:t>础</w:t>
            </w:r>
          </w:p>
          <w:p>
            <w:pPr>
              <w:widowControl/>
              <w:adjustRightInd w:val="0"/>
              <w:snapToGrid w:val="0"/>
              <w:spacing w:line="240" w:lineRule="atLeast"/>
              <w:ind w:firstLine="90" w:firstLineChars="50"/>
              <w:textAlignment w:val="center"/>
              <w:rPr>
                <w:rFonts w:hAnsi="宋体"/>
                <w:b/>
                <w:bCs/>
                <w:color w:val="000000"/>
                <w:kern w:val="0"/>
                <w:sz w:val="18"/>
                <w:szCs w:val="18"/>
              </w:rPr>
            </w:pPr>
            <w:r>
              <w:rPr>
                <w:rFonts w:hint="eastAsia" w:hAnsi="宋体"/>
                <w:b/>
                <w:bCs/>
                <w:color w:val="000000"/>
                <w:kern w:val="0"/>
                <w:sz w:val="18"/>
                <w:szCs w:val="18"/>
              </w:rPr>
              <w:t>支</w:t>
            </w:r>
          </w:p>
          <w:p>
            <w:pPr>
              <w:widowControl/>
              <w:adjustRightInd w:val="0"/>
              <w:snapToGrid w:val="0"/>
              <w:spacing w:line="240" w:lineRule="atLeast"/>
              <w:ind w:firstLine="90" w:firstLineChars="50"/>
              <w:textAlignment w:val="center"/>
              <w:rPr>
                <w:rFonts w:hAnsi="宋体"/>
                <w:b/>
                <w:bCs/>
                <w:color w:val="000000"/>
                <w:sz w:val="18"/>
                <w:szCs w:val="18"/>
              </w:rPr>
            </w:pPr>
            <w:r>
              <w:rPr>
                <w:rFonts w:hint="eastAsia" w:hAnsi="宋体"/>
                <w:b/>
                <w:bCs/>
                <w:color w:val="000000"/>
                <w:kern w:val="0"/>
                <w:sz w:val="18"/>
                <w:szCs w:val="18"/>
              </w:rPr>
              <w:t>撑</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20</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水利工程设计供水能力</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亿立方米</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0.5922</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0.6648</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21</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高速铁路里程</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公里</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31.8</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22</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高速公路通车里程</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公里</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164</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200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23</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互联网出省宽带能力</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Gbps</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2080</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2600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361"/>
              <w:jc w:val="center"/>
              <w:textAlignment w:val="center"/>
              <w:rPr>
                <w:rFonts w:hAnsi="宋体"/>
                <w:b/>
                <w:bCs/>
                <w:color w:val="000000"/>
                <w:sz w:val="18"/>
                <w:szCs w:val="18"/>
              </w:rPr>
            </w:pPr>
          </w:p>
          <w:p>
            <w:pPr>
              <w:widowControl/>
              <w:adjustRightInd w:val="0"/>
              <w:snapToGrid w:val="0"/>
              <w:spacing w:line="240" w:lineRule="atLeast"/>
              <w:ind w:firstLine="361"/>
              <w:jc w:val="center"/>
              <w:textAlignment w:val="center"/>
              <w:rPr>
                <w:rFonts w:hAnsi="宋体"/>
                <w:b/>
                <w:bCs/>
                <w:color w:val="000000"/>
                <w:sz w:val="18"/>
                <w:szCs w:val="18"/>
              </w:rPr>
            </w:pPr>
          </w:p>
          <w:p>
            <w:pPr>
              <w:widowControl/>
              <w:adjustRightInd w:val="0"/>
              <w:snapToGrid w:val="0"/>
              <w:spacing w:line="240" w:lineRule="atLeast"/>
              <w:ind w:firstLine="90" w:firstLineChars="50"/>
              <w:textAlignment w:val="center"/>
              <w:rPr>
                <w:rFonts w:hAnsi="宋体"/>
                <w:b/>
                <w:bCs/>
                <w:color w:val="000000"/>
                <w:kern w:val="0"/>
                <w:sz w:val="18"/>
                <w:szCs w:val="18"/>
              </w:rPr>
            </w:pPr>
            <w:r>
              <w:rPr>
                <w:rFonts w:hint="eastAsia" w:hAnsi="宋体"/>
                <w:b/>
                <w:bCs/>
                <w:color w:val="000000"/>
                <w:kern w:val="0"/>
                <w:sz w:val="18"/>
                <w:szCs w:val="18"/>
              </w:rPr>
              <w:t>民</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生</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建</w:t>
            </w:r>
          </w:p>
          <w:p>
            <w:pPr>
              <w:widowControl/>
              <w:adjustRightInd w:val="0"/>
              <w:snapToGrid w:val="0"/>
              <w:spacing w:line="240" w:lineRule="atLeast"/>
              <w:ind w:firstLine="0" w:firstLineChars="0"/>
              <w:jc w:val="center"/>
              <w:textAlignment w:val="center"/>
              <w:rPr>
                <w:rFonts w:hAnsi="宋体"/>
                <w:b/>
                <w:bCs/>
                <w:color w:val="000000"/>
                <w:kern w:val="0"/>
                <w:sz w:val="18"/>
                <w:szCs w:val="18"/>
              </w:rPr>
            </w:pPr>
            <w:r>
              <w:rPr>
                <w:rFonts w:hint="eastAsia" w:hAnsi="宋体"/>
                <w:b/>
                <w:bCs/>
                <w:color w:val="000000"/>
                <w:kern w:val="0"/>
                <w:sz w:val="18"/>
                <w:szCs w:val="18"/>
              </w:rPr>
              <w:t>设</w:t>
            </w:r>
          </w:p>
          <w:p>
            <w:pPr>
              <w:pStyle w:val="2"/>
              <w:adjustRightInd w:val="0"/>
              <w:snapToGrid w:val="0"/>
              <w:spacing w:line="240" w:lineRule="atLeast"/>
              <w:ind w:firstLine="420"/>
              <w:rPr>
                <w:rFonts w:ascii="仿宋_GB2312" w:hAnsi="宋体" w:eastAsia="仿宋_GB2312"/>
                <w:b/>
                <w:bCs/>
                <w:color w:val="000000"/>
                <w:sz w:val="18"/>
                <w:szCs w:val="18"/>
              </w:rPr>
            </w:pPr>
          </w:p>
          <w:p>
            <w:pPr>
              <w:pStyle w:val="4"/>
              <w:adjustRightInd w:val="0"/>
              <w:snapToGrid w:val="0"/>
              <w:spacing w:line="240" w:lineRule="atLeast"/>
              <w:ind w:firstLine="640"/>
              <w:rPr>
                <w:rFonts w:ascii="仿宋_GB2312" w:hAnsi="宋体" w:eastAsia="仿宋_GB2312"/>
                <w:b/>
                <w:bCs/>
                <w:color w:val="000000"/>
                <w:sz w:val="18"/>
                <w:szCs w:val="18"/>
              </w:rPr>
            </w:pPr>
          </w:p>
          <w:p>
            <w:pPr>
              <w:pStyle w:val="4"/>
              <w:adjustRightInd w:val="0"/>
              <w:snapToGrid w:val="0"/>
              <w:spacing w:line="240" w:lineRule="atLeast"/>
              <w:rPr>
                <w:rFonts w:ascii="仿宋_GB2312" w:hAnsi="宋体" w:eastAsia="仿宋_GB2312"/>
                <w:b/>
                <w:bCs/>
                <w:color w:val="000000"/>
                <w:sz w:val="18"/>
                <w:szCs w:val="18"/>
              </w:rPr>
            </w:pPr>
          </w:p>
        </w:tc>
        <w:tc>
          <w:tcPr>
            <w:tcW w:w="2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24</w:t>
            </w:r>
          </w:p>
        </w:tc>
        <w:tc>
          <w:tcPr>
            <w:tcW w:w="567" w:type="dxa"/>
            <w:vMerge w:val="restart"/>
            <w:tcBorders>
              <w:top w:val="single" w:color="000000" w:sz="4" w:space="0"/>
              <w:left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城乡居入民收</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农村常住居民人均可支配收入</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11272</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9</w:t>
            </w:r>
          </w:p>
        </w:tc>
        <w:tc>
          <w:tcPr>
            <w:tcW w:w="7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c>
          <w:tcPr>
            <w:tcW w:w="567" w:type="dxa"/>
            <w:vMerge w:val="continue"/>
            <w:tcBorders>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城镇常住居民人均可支配收入</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32298</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6.6</w:t>
            </w:r>
          </w:p>
        </w:tc>
        <w:tc>
          <w:tcPr>
            <w:tcW w:w="7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25</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城镇累计新增就业人数</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sz w:val="18"/>
                <w:szCs w:val="18"/>
              </w:rPr>
            </w:pPr>
            <w:r>
              <w:rPr>
                <w:rFonts w:hint="eastAsia" w:hAnsi="宋体"/>
                <w:color w:val="000000"/>
                <w:kern w:val="0"/>
                <w:sz w:val="18"/>
                <w:szCs w:val="18"/>
              </w:rPr>
              <w:t>万人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sz w:val="18"/>
                <w:szCs w:val="18"/>
              </w:rPr>
              <w:t>5.37</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sz w:val="18"/>
                <w:szCs w:val="18"/>
              </w:rPr>
              <w:t>5.0以上</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26</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城镇登记失业率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sz w:val="18"/>
                <w:szCs w:val="18"/>
              </w:rPr>
              <w:t>4.5</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4.2以内</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27</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劳动年龄人口平均受教育年限</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10.8</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12.5</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28</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基本社会养老保险覆盖率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sz w:val="18"/>
                <w:szCs w:val="18"/>
              </w:rPr>
              <w:t>72.34</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sz w:val="18"/>
                <w:szCs w:val="18"/>
              </w:rPr>
              <w:t>77.34</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29</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每千常住人口执业（助理）医师</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1.27</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2.5</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30</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每千人口拥有3岁以下婴幼儿托位数</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个</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360"/>
              <w:jc w:val="center"/>
              <w:rPr>
                <w:rFonts w:hAnsi="宋体"/>
                <w:color w:val="00000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31</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人均寿命</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岁</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74.2</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78.1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240" w:lineRule="atLeast"/>
              <w:ind w:firstLine="0" w:firstLineChars="0"/>
              <w:jc w:val="center"/>
              <w:rPr>
                <w:rFonts w:hAnsi="宋体"/>
                <w:b/>
                <w:bCs/>
                <w:color w:val="000000"/>
                <w:sz w:val="18"/>
                <w:szCs w:val="18"/>
              </w:rPr>
            </w:pPr>
            <w:r>
              <w:rPr>
                <w:rFonts w:hint="eastAsia" w:hAnsi="宋体"/>
                <w:b/>
                <w:bCs/>
                <w:color w:val="000000"/>
                <w:sz w:val="18"/>
                <w:szCs w:val="18"/>
              </w:rPr>
              <w:t>对</w:t>
            </w:r>
          </w:p>
          <w:p>
            <w:pPr>
              <w:adjustRightInd w:val="0"/>
              <w:snapToGrid w:val="0"/>
              <w:spacing w:line="240" w:lineRule="atLeast"/>
              <w:ind w:firstLine="0" w:firstLineChars="0"/>
              <w:jc w:val="center"/>
              <w:rPr>
                <w:rFonts w:hAnsi="宋体"/>
                <w:b/>
                <w:bCs/>
                <w:color w:val="000000"/>
                <w:sz w:val="18"/>
                <w:szCs w:val="18"/>
              </w:rPr>
            </w:pPr>
            <w:r>
              <w:rPr>
                <w:rFonts w:hint="eastAsia" w:hAnsi="宋体"/>
                <w:b/>
                <w:bCs/>
                <w:color w:val="000000"/>
                <w:sz w:val="18"/>
                <w:szCs w:val="18"/>
              </w:rPr>
              <w:t>外</w:t>
            </w:r>
          </w:p>
          <w:p>
            <w:pPr>
              <w:adjustRightInd w:val="0"/>
              <w:snapToGrid w:val="0"/>
              <w:spacing w:line="240" w:lineRule="atLeast"/>
              <w:ind w:firstLine="0" w:firstLineChars="0"/>
              <w:jc w:val="center"/>
              <w:rPr>
                <w:rFonts w:hAnsi="宋体"/>
                <w:b/>
                <w:bCs/>
                <w:color w:val="000000"/>
                <w:sz w:val="18"/>
                <w:szCs w:val="18"/>
              </w:rPr>
            </w:pPr>
            <w:r>
              <w:rPr>
                <w:rFonts w:hint="eastAsia" w:hAnsi="宋体"/>
                <w:b/>
                <w:bCs/>
                <w:color w:val="000000"/>
                <w:sz w:val="18"/>
                <w:szCs w:val="18"/>
              </w:rPr>
              <w:t>开</w:t>
            </w:r>
          </w:p>
          <w:p>
            <w:pPr>
              <w:widowControl/>
              <w:adjustRightInd w:val="0"/>
              <w:snapToGrid w:val="0"/>
              <w:spacing w:line="240" w:lineRule="atLeast"/>
              <w:ind w:firstLine="0" w:firstLineChars="0"/>
              <w:jc w:val="center"/>
              <w:textAlignment w:val="center"/>
              <w:rPr>
                <w:rFonts w:hAnsi="宋体"/>
                <w:b/>
                <w:bCs/>
                <w:color w:val="000000"/>
                <w:kern w:val="0"/>
                <w:sz w:val="18"/>
                <w:szCs w:val="18"/>
              </w:rPr>
            </w:pPr>
            <w:r>
              <w:rPr>
                <w:rFonts w:hint="eastAsia" w:hAnsi="宋体"/>
                <w:b/>
                <w:bCs/>
                <w:color w:val="000000"/>
                <w:sz w:val="18"/>
                <w:szCs w:val="18"/>
              </w:rPr>
              <w:t>放</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32</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kern w:val="0"/>
                <w:sz w:val="18"/>
                <w:szCs w:val="18"/>
              </w:rPr>
              <w:t>引进市外到位资金</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146.08</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年均增长200亿元</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33</w:t>
            </w:r>
          </w:p>
        </w:tc>
        <w:tc>
          <w:tcPr>
            <w:tcW w:w="3402"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进出口总额</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34</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kern w:val="0"/>
                <w:sz w:val="18"/>
                <w:szCs w:val="18"/>
              </w:rPr>
            </w:pPr>
            <w:r>
              <w:rPr>
                <w:rFonts w:hint="eastAsia" w:hAnsi="宋体"/>
                <w:kern w:val="0"/>
                <w:sz w:val="18"/>
                <w:szCs w:val="18"/>
              </w:rPr>
              <w:t>实际利用外资</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sz w:val="20"/>
                <w:szCs w:val="20"/>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kern w:val="0"/>
                <w:sz w:val="18"/>
                <w:szCs w:val="18"/>
              </w:rPr>
            </w:pPr>
            <w:r>
              <w:rPr>
                <w:rFonts w:hint="eastAsia" w:hAnsi="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8</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b/>
                <w:bCs/>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35</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FF0000"/>
                <w:kern w:val="0"/>
                <w:sz w:val="18"/>
                <w:szCs w:val="18"/>
              </w:rPr>
            </w:pPr>
            <w:r>
              <w:rPr>
                <w:rFonts w:hint="eastAsia" w:hAnsi="宋体"/>
                <w:kern w:val="0"/>
                <w:sz w:val="18"/>
                <w:szCs w:val="18"/>
              </w:rPr>
              <w:t>民营经济比重</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58</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61</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安</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全</w:t>
            </w:r>
          </w:p>
          <w:p>
            <w:pPr>
              <w:widowControl/>
              <w:adjustRightInd w:val="0"/>
              <w:snapToGrid w:val="0"/>
              <w:spacing w:line="240" w:lineRule="atLeast"/>
              <w:ind w:firstLine="0" w:firstLineChars="0"/>
              <w:jc w:val="center"/>
              <w:textAlignment w:val="center"/>
              <w:rPr>
                <w:rFonts w:hint="eastAsia" w:hAnsi="宋体" w:eastAsia="仿宋_GB2312"/>
                <w:b/>
                <w:bCs/>
                <w:color w:val="000000"/>
                <w:kern w:val="0"/>
                <w:sz w:val="18"/>
                <w:szCs w:val="18"/>
                <w:lang w:eastAsia="zh-CN"/>
              </w:rPr>
            </w:pPr>
            <w:r>
              <w:rPr>
                <w:rFonts w:hint="eastAsia" w:hAnsi="宋体"/>
                <w:b/>
                <w:bCs/>
                <w:color w:val="000000"/>
                <w:kern w:val="0"/>
                <w:sz w:val="18"/>
                <w:szCs w:val="18"/>
              </w:rPr>
              <w:t>保</w:t>
            </w:r>
          </w:p>
          <w:p>
            <w:pPr>
              <w:widowControl/>
              <w:adjustRightInd w:val="0"/>
              <w:snapToGrid w:val="0"/>
              <w:spacing w:line="240" w:lineRule="atLeast"/>
              <w:ind w:firstLine="0" w:firstLineChars="0"/>
              <w:jc w:val="center"/>
              <w:textAlignment w:val="center"/>
              <w:rPr>
                <w:rFonts w:hAnsi="宋体"/>
                <w:b/>
                <w:bCs/>
                <w:color w:val="000000"/>
                <w:kern w:val="0"/>
                <w:sz w:val="18"/>
                <w:szCs w:val="18"/>
              </w:rPr>
            </w:pPr>
            <w:r>
              <w:rPr>
                <w:rFonts w:hint="eastAsia" w:hAnsi="宋体"/>
                <w:b/>
                <w:bCs/>
                <w:color w:val="000000"/>
                <w:kern w:val="0"/>
                <w:sz w:val="18"/>
                <w:szCs w:val="18"/>
              </w:rPr>
              <w:t>障</w:t>
            </w: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36</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粮食综合生产能力</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万吨/年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18</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19</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37</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能源综合生产能力</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万吨标准煤</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w:t>
            </w:r>
          </w:p>
        </w:tc>
        <w:tc>
          <w:tcPr>
            <w:tcW w:w="23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 xml:space="preserve">完成省下达的目标要求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r>
        <w:tblPrEx>
          <w:tblCellMar>
            <w:top w:w="0" w:type="dxa"/>
            <w:left w:w="0" w:type="dxa"/>
            <w:bottom w:w="0" w:type="dxa"/>
            <w:right w:w="0" w:type="dxa"/>
          </w:tblCellMar>
        </w:tblPrEx>
        <w:trPr>
          <w:cantSplit/>
          <w:trHeight w:val="113"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p>
        </w:tc>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38</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亿元GDP生产安全事故死亡率元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sz w:val="18"/>
                <w:szCs w:val="18"/>
              </w:rPr>
            </w:pPr>
            <w:r>
              <w:rPr>
                <w:rFonts w:hint="eastAsia" w:hAnsi="宋体"/>
                <w:color w:val="000000"/>
                <w:kern w:val="0"/>
                <w:sz w:val="18"/>
                <w:szCs w:val="18"/>
              </w:rPr>
              <w:t>人/亿元</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sz w:val="18"/>
                <w:szCs w:val="18"/>
              </w:rPr>
              <w:t>0.03</w:t>
            </w:r>
          </w:p>
        </w:tc>
        <w:tc>
          <w:tcPr>
            <w:tcW w:w="23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0.021以内</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atLeast"/>
              <w:ind w:firstLine="0" w:firstLineChars="0"/>
              <w:jc w:val="center"/>
              <w:textAlignment w:val="center"/>
              <w:rPr>
                <w:rFonts w:hAnsi="宋体"/>
                <w:color w:val="000000"/>
                <w:kern w:val="0"/>
                <w:sz w:val="18"/>
                <w:szCs w:val="18"/>
              </w:rPr>
            </w:pPr>
            <w:r>
              <w:rPr>
                <w:rFonts w:hint="eastAsia" w:hAnsi="宋体"/>
                <w:color w:val="000000"/>
                <w:kern w:val="0"/>
                <w:sz w:val="18"/>
                <w:szCs w:val="18"/>
              </w:rPr>
              <w:t>预期性</w:t>
            </w:r>
          </w:p>
        </w:tc>
      </w:tr>
    </w:tbl>
    <w:p>
      <w:pPr>
        <w:pStyle w:val="5"/>
      </w:pPr>
      <w:bookmarkStart w:id="12" w:name="_Toc63250050"/>
      <w:r>
        <w:rPr>
          <w:rFonts w:hint="eastAsia"/>
        </w:rPr>
        <w:t>第三</w:t>
      </w:r>
      <w:bookmarkStart w:id="13" w:name="_Hlk51578490"/>
      <w:r>
        <w:rPr>
          <w:rFonts w:hint="eastAsia"/>
        </w:rPr>
        <w:t xml:space="preserve">篇 </w:t>
      </w:r>
      <w:bookmarkEnd w:id="13"/>
      <w:bookmarkStart w:id="14" w:name="_Hlk50395365"/>
      <w:r>
        <w:rPr>
          <w:rFonts w:hint="eastAsia"/>
        </w:rPr>
        <w:t>深入实施新型工业化，高质量推动产业转型升级发展</w:t>
      </w:r>
      <w:bookmarkEnd w:id="12"/>
    </w:p>
    <w:bookmarkEnd w:id="14"/>
    <w:p>
      <w:pPr>
        <w:ind w:firstLine="640"/>
      </w:pPr>
      <w:r>
        <w:rPr>
          <w:rFonts w:hint="eastAsia"/>
        </w:rPr>
        <w:t>坚持把发展经济着力点放在实体经济上，紧紧抓住六盘水建设国家级产业转型升级示范区的机遇，加快传统工业改造升级、提质增效，积极培育和引导新产业发展，做到绿色、环保、安全、高效和可持续发展。坚持以信息化带动工业化</w:t>
      </w:r>
      <w:r>
        <w:t>,以工业化促进信息化，实现科技含量高、经济效益好、资源消耗低、环境污染少、人力资源优势得到充分发挥的工业化。</w:t>
      </w:r>
      <w:r>
        <w:rPr>
          <w:rFonts w:hint="eastAsia"/>
        </w:rPr>
        <w:t>力争“十四五”末全区工业总产值达</w:t>
      </w:r>
      <w:r>
        <w:t>800亿元</w:t>
      </w:r>
      <w:r>
        <w:rPr>
          <w:rFonts w:hint="eastAsia"/>
        </w:rPr>
        <w:t>。</w:t>
      </w:r>
    </w:p>
    <w:p>
      <w:pPr>
        <w:pStyle w:val="6"/>
        <w:spacing w:before="222"/>
      </w:pPr>
      <w:bookmarkStart w:id="15" w:name="_Toc63250051"/>
      <w:r>
        <w:rPr>
          <w:rFonts w:hint="eastAsia"/>
        </w:rPr>
        <w:t>第五章 推动传统产业高端化智能化绿色化变革</w:t>
      </w:r>
      <w:bookmarkEnd w:id="15"/>
    </w:p>
    <w:p>
      <w:pPr>
        <w:ind w:firstLine="640"/>
      </w:pPr>
      <w:r>
        <w:rPr>
          <w:rFonts w:hint="eastAsia"/>
        </w:rPr>
        <w:t>狠抓传统资源型产业提质增效，积极推广数字化智能化绿色化</w:t>
      </w:r>
      <w:bookmarkStart w:id="16" w:name="_Hlk56205011"/>
      <w:r>
        <w:rPr>
          <w:rFonts w:hint="eastAsia"/>
        </w:rPr>
        <w:t>，增强企业的创新理念，建立高效的企业运作机制</w:t>
      </w:r>
      <w:bookmarkEnd w:id="16"/>
      <w:r>
        <w:rPr>
          <w:rFonts w:hint="eastAsia"/>
        </w:rPr>
        <w:t>，聚焦煤炭、电力、建材等重点产业，提质存量、补链强基，大力提升产业链供应链现代化水平。</w:t>
      </w:r>
    </w:p>
    <w:p>
      <w:pPr>
        <w:spacing w:line="570" w:lineRule="exact"/>
        <w:ind w:firstLine="0" w:firstLineChars="0"/>
        <w:jc w:val="center"/>
        <w:rPr>
          <w:b/>
          <w:bCs/>
        </w:rPr>
      </w:pPr>
      <w:r>
        <w:rPr>
          <w:rFonts w:hint="eastAsia"/>
          <w:b/>
          <w:bCs/>
        </w:rPr>
        <w:t>第一节 做优煤</w:t>
      </w:r>
      <w:r>
        <w:rPr>
          <w:b/>
          <w:bCs/>
        </w:rPr>
        <w:t>炭</w:t>
      </w:r>
      <w:r>
        <w:rPr>
          <w:rFonts w:hint="eastAsia"/>
          <w:b/>
          <w:bCs/>
        </w:rPr>
        <w:t>产业</w:t>
      </w:r>
    </w:p>
    <w:p>
      <w:pPr>
        <w:ind w:firstLine="640"/>
      </w:pPr>
      <w:r>
        <w:rPr>
          <w:rFonts w:hint="eastAsia"/>
        </w:rPr>
        <w:t>加快推进煤炭产业转型升级，加快推进煤炭集约化、绿色化开采，更高水平推进煤矿机械化、自动化、信息化、智能化建设，加快释放优质产能，打造大型现代化煤炭物流园和西南地区应急储煤基地，到</w:t>
      </w:r>
      <w:r>
        <w:t>2025年，煤炭产量达到2200万吨以上</w:t>
      </w:r>
      <w:r>
        <w:rPr>
          <w:rFonts w:hint="eastAsia"/>
        </w:rPr>
        <w:t>，力争2</w:t>
      </w:r>
      <w:r>
        <w:t>500</w:t>
      </w:r>
      <w:r>
        <w:rPr>
          <w:rFonts w:hint="eastAsia"/>
        </w:rPr>
        <w:t>万吨</w:t>
      </w:r>
      <w:r>
        <w:t>。</w:t>
      </w:r>
    </w:p>
    <w:p>
      <w:pPr>
        <w:ind w:firstLine="640"/>
      </w:pPr>
      <w:r>
        <w:rPr>
          <w:rFonts w:hint="eastAsia"/>
        </w:rPr>
        <w:t>持续做大做强煤炭主业，推进煤矿优化整合和煤炭分级分质梯级利用，积极发展新型煤化工，打造全省煤炭产业集群高质量发展示范区。进一步优化产业结构，减少煤矿个数，支持鼓励煤矿通过产能置换、优化整合提升规模到</w:t>
      </w:r>
      <w:r>
        <w:t>90万吨以上。加快推进</w:t>
      </w:r>
      <w:r>
        <w:rPr>
          <w:rFonts w:hint="eastAsia"/>
        </w:rPr>
        <w:t>发耳二矿西井一期、发耳二矿西井二期、发耳二矿东井、</w:t>
      </w:r>
      <w:r>
        <w:t>化乐煤矿二期、</w:t>
      </w:r>
      <w:r>
        <w:rPr>
          <w:rFonts w:hint="eastAsia"/>
        </w:rPr>
        <w:t>玉舍煤矿东井</w:t>
      </w:r>
      <w:r>
        <w:t>等</w:t>
      </w:r>
      <w:r>
        <w:rPr>
          <w:rFonts w:hint="eastAsia"/>
        </w:rPr>
        <w:t>大中型新建（续建）矿井及都格河边煤矿</w:t>
      </w:r>
      <w:r>
        <w:t>60万吨/年、猴场泰麟煤矿60万吨/年、阿戛陈家沟煤矿60万吨/年、阿戛煤矿60万吨/年等兼并重组矿井建设，</w:t>
      </w:r>
      <w:r>
        <w:rPr>
          <w:rFonts w:hint="eastAsia"/>
        </w:rPr>
        <w:t>加快释放优质产能。加快推动煤炭安全高效绿色智能开采，全面推进智能化综采综掘工作面及智能煤矿建设，促进煤炭产业增值提效。在巡检、运输、救援、危险作业等场景全面推广煤矿井下机器人应用。探索“5</w:t>
      </w:r>
      <w:r>
        <w:t>G +煤炭开采”、开采与灾害防控一体化的煤矿安全生产先进模式，推进无人（少人）智能工作面示范项目建设，</w:t>
      </w:r>
      <w:r>
        <w:rPr>
          <w:rFonts w:hint="eastAsia"/>
        </w:rPr>
        <w:t>实施井下无人化、少人化作业管理，重点实施化乐煤矿、发耳二矿、发耳煤业智能化煤矿建设示范项目。</w:t>
      </w:r>
    </w:p>
    <w:p>
      <w:pPr>
        <w:ind w:firstLine="640"/>
      </w:pPr>
      <w:r>
        <w:t>大力发展煤炭关联产业，加快形成“煤</w:t>
      </w:r>
      <w:r>
        <w:rPr>
          <w:rFonts w:hint="eastAsia"/>
        </w:rPr>
        <w:t>、</w:t>
      </w:r>
      <w:r>
        <w:t>电、焦、气、化、材、热、纺”集群化发展新格局</w:t>
      </w:r>
      <w:r>
        <w:rPr>
          <w:rFonts w:hint="eastAsia"/>
        </w:rPr>
        <w:t>。聚焦现代煤化工产业发展方向和市场需求空间，实施鑫晟煤化工</w:t>
      </w:r>
      <w:r>
        <w:t xml:space="preserve"> 30 万吨甲醇技改，推进</w:t>
      </w:r>
      <w:r>
        <w:rPr>
          <w:rFonts w:hint="eastAsia"/>
        </w:rPr>
        <w:t>水城经开区煤焦化循环经济项目</w:t>
      </w:r>
      <w:r>
        <w:t>，同步规划布局一批现代煤化工项目，加大煤制烯烃、煤制芳烃、煤制乙醇等技术攻关，力争取得突破。</w:t>
      </w:r>
      <w:r>
        <w:rPr>
          <w:rFonts w:hint="eastAsia"/>
        </w:rPr>
        <w:t>加快推进煤层气资源勘查开发和煤矿瓦斯综合利用，打造煤层气“开采—提纯—输送—加工利用”产业链。</w:t>
      </w:r>
    </w:p>
    <w:p>
      <w:pPr>
        <w:ind w:firstLine="640"/>
      </w:pPr>
      <w:r>
        <w:rPr>
          <w:rFonts w:hint="eastAsia"/>
        </w:rPr>
        <w:t>大力发展高端化、智能化、绿色化、服务化能矿装备制造业，支持和鼓励企业加快煤矿液压支架、割煤机、煤巷综合掘进设备和煤矿小型零配件等本土化生产，加快培育水城经开区发展智能化矿山机械装备制造和租赁产业。</w:t>
      </w:r>
    </w:p>
    <w:p>
      <w:pPr>
        <w:ind w:firstLine="640"/>
      </w:pPr>
      <w:r>
        <w:t>创新</w:t>
      </w:r>
      <w:r>
        <w:rPr>
          <w:rFonts w:hint="eastAsia"/>
        </w:rPr>
        <w:t>治理和</w:t>
      </w:r>
      <w:r>
        <w:t>利用方式，</w:t>
      </w:r>
      <w:r>
        <w:rPr>
          <w:rFonts w:hint="eastAsia"/>
        </w:rPr>
        <w:t>加大“三废”治理力度，</w:t>
      </w:r>
      <w:r>
        <w:t>着力提高“三废”利用水平。打造水城经开区现代煤化工基地，积极推进鑫盛煤化工、</w:t>
      </w:r>
      <w:r>
        <w:rPr>
          <w:rFonts w:hint="eastAsia"/>
        </w:rPr>
        <w:t>旗盛焦化升级改造等项目开工建成投产</w:t>
      </w:r>
      <w:r>
        <w:t>。加快煤层气、页岩气资源勘查开发，</w:t>
      </w:r>
      <w:r>
        <w:rPr>
          <w:rFonts w:hint="eastAsia"/>
        </w:rPr>
        <w:t>建立</w:t>
      </w:r>
      <w:r>
        <w:t>煤电气互济互补的综合能源保障体系。引进吸收高新技术，改造提升煤炭、火电、冶金、建材等传统产业，推</w:t>
      </w:r>
      <w:r>
        <w:rPr>
          <w:rFonts w:hint="eastAsia"/>
        </w:rPr>
        <w:t>进企业技术创新、集成创新、产品创新，提高企业科技含量和产品附加值。</w:t>
      </w:r>
    </w:p>
    <w:p>
      <w:pPr>
        <w:ind w:firstLine="640"/>
      </w:pPr>
      <w:r>
        <w:rPr>
          <w:rFonts w:hint="eastAsia"/>
        </w:rPr>
        <w:t>加大煤炭产业扶持力度，完善煤炭行业政策性担保体系和财政奖补机制，全面落实煤炭企业税收优惠政策。加强煤炭行业人才队伍建设，加大对煤矿企业的金融、保险支持力度，实行“有扶有控”的差别化金融、保险政策，满足优质企业的合理信贷需求。</w:t>
      </w:r>
    </w:p>
    <w:p>
      <w:pPr>
        <w:spacing w:after="240"/>
        <w:ind w:firstLine="640"/>
      </w:pPr>
      <w:r>
        <w:rPr>
          <w:rFonts w:hint="eastAsia"/>
        </w:rPr>
        <w:t>全面落实煤矿安全生产责任，进一步增强红线意识和底线思维，做到不安全不生产、以安全促生产、生产必须安全，不断夯实安全生产基础，确保煤矿安全生产长治久安。加大先进科学技术、装备广泛运用力度，加强煤矿企业安全智能化管理，推进本质安全型矿山建设，切实提升政府安全生产监管能力和企业安全管理水平。</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 xml:space="preserve">3 </w:t>
            </w:r>
            <w:r>
              <w:rPr>
                <w:rFonts w:hint="eastAsia" w:ascii="楷体" w:hAnsi="楷体" w:eastAsia="楷体"/>
                <w:sz w:val="26"/>
                <w:szCs w:val="26"/>
              </w:rPr>
              <w:t>煤炭产业重点项目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26" w:type="dxa"/>
          </w:tcPr>
          <w:p>
            <w:pPr>
              <w:spacing w:before="60"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煤炭项目</w:t>
            </w:r>
          </w:p>
          <w:p>
            <w:pPr>
              <w:spacing w:before="60" w:line="260" w:lineRule="exact"/>
              <w:ind w:firstLine="422"/>
              <w:rPr>
                <w:rFonts w:ascii="楷体_GB2312" w:eastAsia="楷体_GB2312"/>
                <w:color w:val="000000" w:themeColor="text1"/>
                <w:sz w:val="21"/>
                <w:szCs w:val="21"/>
                <w14:textFill>
                  <w14:solidFill>
                    <w14:schemeClr w14:val="tx1"/>
                  </w14:solidFill>
                </w14:textFill>
              </w:rPr>
            </w:pPr>
            <w:r>
              <w:rPr>
                <w:rFonts w:hint="eastAsia" w:ascii="楷体_GB2312" w:eastAsia="楷体_GB2312"/>
                <w:b/>
                <w:bCs/>
                <w:sz w:val="21"/>
                <w:szCs w:val="21"/>
              </w:rPr>
              <w:t>新建类</w:t>
            </w:r>
            <w:r>
              <w:rPr>
                <w:rFonts w:hint="eastAsia" w:ascii="楷体_GB2312" w:eastAsia="楷体_GB2312"/>
                <w:sz w:val="21"/>
                <w:szCs w:val="21"/>
              </w:rPr>
              <w:t>：</w:t>
            </w:r>
            <w:r>
              <w:rPr>
                <w:rFonts w:hint="eastAsia" w:ascii="楷体_GB2312" w:eastAsia="楷体_GB2312"/>
                <w:color w:val="000000" w:themeColor="text1"/>
                <w:sz w:val="21"/>
                <w:szCs w:val="21"/>
                <w14:textFill>
                  <w14:solidFill>
                    <w14:schemeClr w14:val="tx1"/>
                  </w14:solidFill>
                </w14:textFill>
              </w:rPr>
              <w:t>重点建设发耳二矿西井（二期）新建年产150万吨矿井、发耳二矿东井新建年产180万吨矿井、化乐煤矿二期年产210万吨矿井、蟠龙长银煤矿年产60万吨矿井等项目。</w:t>
            </w:r>
          </w:p>
          <w:p>
            <w:pPr>
              <w:spacing w:before="60" w:line="260" w:lineRule="exact"/>
              <w:ind w:firstLine="422"/>
            </w:pPr>
            <w:r>
              <w:rPr>
                <w:rFonts w:hint="eastAsia" w:ascii="楷体_GB2312" w:eastAsia="楷体_GB2312"/>
                <w:b/>
                <w:bCs/>
                <w:color w:val="000000" w:themeColor="text1"/>
                <w:sz w:val="21"/>
                <w:szCs w:val="21"/>
                <w14:textFill>
                  <w14:solidFill>
                    <w14:schemeClr w14:val="tx1"/>
                  </w14:solidFill>
                </w14:textFill>
              </w:rPr>
              <w:t>技改类</w:t>
            </w:r>
            <w:r>
              <w:rPr>
                <w:rFonts w:hint="eastAsia" w:ascii="楷体_GB2312" w:eastAsia="楷体_GB2312"/>
                <w:color w:val="000000" w:themeColor="text1"/>
                <w:sz w:val="21"/>
                <w:szCs w:val="21"/>
                <w14:textFill>
                  <w14:solidFill>
                    <w14:schemeClr w14:val="tx1"/>
                  </w14:solidFill>
                </w14:textFill>
              </w:rPr>
              <w:t>：技改</w:t>
            </w:r>
            <w:r>
              <w:rPr>
                <w:rFonts w:ascii="楷体_GB2312" w:eastAsia="楷体_GB2312"/>
                <w:color w:val="000000" w:themeColor="text1"/>
                <w:sz w:val="21"/>
                <w:szCs w:val="21"/>
                <w14:textFill>
                  <w14:solidFill>
                    <w14:schemeClr w14:val="tx1"/>
                  </w14:solidFill>
                </w14:textFill>
              </w:rPr>
              <w:t>项目</w:t>
            </w:r>
            <w:r>
              <w:rPr>
                <w:rFonts w:hint="eastAsia" w:ascii="楷体_GB2312" w:eastAsia="楷体_GB2312"/>
                <w:color w:val="000000" w:themeColor="text1"/>
                <w:sz w:val="21"/>
                <w:szCs w:val="21"/>
                <w14:textFill>
                  <w14:solidFill>
                    <w14:schemeClr w14:val="tx1"/>
                  </w14:solidFill>
                </w14:textFill>
              </w:rPr>
              <w:t>、都格河边煤矿年产60万吨兼并重组技改矿井及90万吨优化整合矿井、猴场泰麟煤矿年产60万吨矿井、阿戛陈家沟煤矿年产60万吨矿井、阿戛煤矿年产60万吨矿井、水城黔源煤矿年产60万吨矿井、比德河坝煤矿年产45万吨矿井、陡箐腾巍煤矿年产45万吨矿井、阿戛贵新煤矿年产45万吨矿井、阿戛凉水沟煤矿年产45万吨矿井、玉舍支都煤矿年产45万吨矿井、化乐锦源煤矿年产60万吨矿井、老鹰山东风煤矿年产45万吨兼并重组技改矿井及90万吨优化整合矿井、化乐</w:t>
            </w:r>
            <w:r>
              <w:rPr>
                <w:rFonts w:hint="eastAsia" w:ascii="微软雅黑" w:hAnsi="微软雅黑" w:eastAsia="微软雅黑" w:cs="微软雅黑"/>
                <w:color w:val="000000" w:themeColor="text1"/>
                <w:sz w:val="21"/>
                <w:szCs w:val="21"/>
                <w14:textFill>
                  <w14:solidFill>
                    <w14:schemeClr w14:val="tx1"/>
                  </w14:solidFill>
                </w14:textFill>
              </w:rPr>
              <w:t>燊</w:t>
            </w:r>
            <w:r>
              <w:rPr>
                <w:rFonts w:hint="eastAsia" w:ascii="楷体_GB2312" w:eastAsia="楷体_GB2312" w:cs="仿宋_GB2312"/>
                <w:color w:val="000000" w:themeColor="text1"/>
                <w:sz w:val="21"/>
                <w:szCs w:val="21"/>
                <w14:textFill>
                  <w14:solidFill>
                    <w14:schemeClr w14:val="tx1"/>
                  </w14:solidFill>
                </w14:textFill>
              </w:rPr>
              <w:t>达煤矿年产</w:t>
            </w:r>
            <w:r>
              <w:rPr>
                <w:rFonts w:hint="eastAsia" w:ascii="楷体_GB2312" w:eastAsia="楷体_GB2312"/>
                <w:color w:val="000000" w:themeColor="text1"/>
                <w:sz w:val="21"/>
                <w:szCs w:val="21"/>
                <w14:textFill>
                  <w14:solidFill>
                    <w14:schemeClr w14:val="tx1"/>
                  </w14:solidFill>
                </w14:textFill>
              </w:rPr>
              <w:t>45万吨矿井、玉舍东井（一期）煤矿年产90万吨矿井、化乐大田煤矿年产45万吨矿井、阿戛吉源煤矿年产45万吨矿井、陡箐元宝山新建煤矿年产45万吨矿井、化乐朝阳煤矿年产45万吨矿井、阿戛大树脚煤矿年产45万吨矿井、发耳二矿西井一期</w:t>
            </w:r>
            <w:r>
              <w:rPr>
                <w:rFonts w:ascii="楷体_GB2312" w:eastAsia="楷体_GB2312"/>
                <w:color w:val="000000" w:themeColor="text1"/>
                <w:sz w:val="21"/>
                <w:szCs w:val="21"/>
                <w14:textFill>
                  <w14:solidFill>
                    <w14:schemeClr w14:val="tx1"/>
                  </w14:solidFill>
                </w14:textFill>
              </w:rPr>
              <w:t>90万吨</w:t>
            </w:r>
            <w:r>
              <w:rPr>
                <w:rFonts w:hint="eastAsia" w:ascii="楷体_GB2312" w:eastAsia="楷体_GB2312"/>
                <w:color w:val="000000" w:themeColor="text1"/>
                <w:sz w:val="21"/>
                <w:szCs w:val="21"/>
                <w14:textFill>
                  <w14:solidFill>
                    <w14:schemeClr w14:val="tx1"/>
                  </w14:solidFill>
                </w14:textFill>
              </w:rPr>
              <w:t>技改、发耳煤业（二期）120万吨建设、</w:t>
            </w:r>
            <w:r>
              <w:rPr>
                <w:rFonts w:hint="eastAsia" w:ascii="楷体_GB2312" w:eastAsia="楷体_GB2312"/>
                <w:sz w:val="21"/>
                <w:szCs w:val="21"/>
              </w:rPr>
              <w:t>阿戛马场煤矿年产45万吨续建矿井</w:t>
            </w:r>
            <w:r>
              <w:rPr>
                <w:rFonts w:hint="eastAsia" w:ascii="楷体_GB2312" w:eastAsia="楷体_GB2312"/>
                <w:color w:val="000000" w:themeColor="text1"/>
                <w:sz w:val="21"/>
                <w:szCs w:val="21"/>
                <w14:textFill>
                  <w14:solidFill>
                    <w14:schemeClr w14:val="tx1"/>
                  </w14:solidFill>
                </w14:textFill>
              </w:rPr>
              <w:t>等技改项目建设</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spacing w:before="60"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洗选产业</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重点实施水城都格河边煤矿</w:t>
            </w:r>
            <w:r>
              <w:rPr>
                <w:rFonts w:ascii="楷体_GB2312" w:eastAsia="楷体_GB2312"/>
                <w:sz w:val="21"/>
                <w:szCs w:val="21"/>
              </w:rPr>
              <w:t>60万吨洗煤厂、水城猴场泰麟煤矿60万吨洗煤厂、水城蟠龙长银煤矿60万吨洗煤厂、水城阿戛陈家沟煤矿60万吨洗煤厂、水城比德河坝煤矿45万吨洗煤厂、水城陡箐腾巍煤矿45万吨洗煤厂、水城化乐煤矿300万吨洗煤厂、水城恒普煤业420万吨洗煤厂</w:t>
            </w:r>
            <w:r>
              <w:rPr>
                <w:rFonts w:hint="eastAsia" w:ascii="楷体_GB2312" w:eastAsia="楷体_GB2312"/>
                <w:sz w:val="21"/>
                <w:szCs w:val="21"/>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煤炭关联产业项目</w:t>
            </w:r>
          </w:p>
          <w:p>
            <w:pPr>
              <w:spacing w:line="280" w:lineRule="exact"/>
              <w:ind w:firstLine="420"/>
              <w:rPr>
                <w:rFonts w:ascii="楷体_GB2312" w:eastAsia="楷体_GB2312"/>
                <w:b/>
                <w:bCs/>
                <w:sz w:val="21"/>
                <w:szCs w:val="21"/>
              </w:rPr>
            </w:pPr>
            <w:r>
              <w:rPr>
                <w:rFonts w:hint="eastAsia" w:ascii="楷体_GB2312" w:eastAsia="楷体_GB2312"/>
                <w:color w:val="000000" w:themeColor="text1"/>
                <w:sz w:val="21"/>
                <w:szCs w:val="21"/>
                <w14:textFill>
                  <w14:solidFill>
                    <w14:schemeClr w14:val="tx1"/>
                  </w14:solidFill>
                </w14:textFill>
              </w:rPr>
              <w:t>重点实施</w:t>
            </w:r>
            <w:r>
              <w:rPr>
                <w:rFonts w:hint="eastAsia" w:ascii="楷体_GB2312" w:eastAsia="楷体_GB2312"/>
                <w:sz w:val="21"/>
                <w:szCs w:val="21"/>
              </w:rPr>
              <w:t>水城煤炭资源勘探、水城储煤货场升级改造、水城经开区电石气焦炉气综合利用、煤炭产品综合信息化管理系统（二期）等项目建设。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煤焦化项目</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重点推进水城经开区旗胜焦化年产240万吨焦化炉、水城经开区年产400万吨煤焦化循环经济项目等项目建设。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页岩气项目</w:t>
            </w:r>
          </w:p>
          <w:p>
            <w:pPr>
              <w:spacing w:line="280" w:lineRule="exact"/>
              <w:ind w:firstLine="420"/>
              <w:rPr>
                <w:rFonts w:ascii="楷体_GB2312" w:eastAsia="楷体_GB2312"/>
                <w:b/>
                <w:bCs/>
                <w:sz w:val="21"/>
                <w:szCs w:val="21"/>
              </w:rPr>
            </w:pPr>
            <w:r>
              <w:rPr>
                <w:rFonts w:hint="eastAsia" w:ascii="楷体_GB2312" w:eastAsia="楷体_GB2312"/>
                <w:sz w:val="21"/>
                <w:szCs w:val="21"/>
              </w:rPr>
              <w:t>推进水城作为页岩气资源潜力后备区的资源勘查开发。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煤层气项目</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重点实施水城比德向斜煤层气制LNG、水城格目底向斜地面煤层气勘探开发利用、水城杨梅树向斜地面煤层气勘探开发利用、水城作为煤层气重点勘查开发试验区的资源勘探开发等项目建设。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7 </w:t>
            </w:r>
            <w:r>
              <w:rPr>
                <w:rFonts w:hint="eastAsia" w:ascii="楷体_GB2312" w:eastAsia="楷体_GB2312"/>
                <w:b/>
                <w:bCs/>
                <w:sz w:val="21"/>
                <w:szCs w:val="21"/>
              </w:rPr>
              <w:t>能矿装备产业项目</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重点推进水城经开区智能化矿山机械装备制造和租赁项目建设。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8 </w:t>
            </w:r>
            <w:r>
              <w:rPr>
                <w:rFonts w:hint="eastAsia" w:ascii="楷体_GB2312" w:eastAsia="楷体_GB2312"/>
                <w:b/>
                <w:bCs/>
                <w:sz w:val="21"/>
                <w:szCs w:val="21"/>
              </w:rPr>
              <w:t>新型煤化工项目</w:t>
            </w:r>
          </w:p>
          <w:p>
            <w:pPr>
              <w:spacing w:after="60" w:line="280" w:lineRule="exact"/>
              <w:ind w:firstLine="420"/>
              <w:rPr>
                <w:sz w:val="28"/>
                <w:szCs w:val="28"/>
              </w:rPr>
            </w:pPr>
            <w:r>
              <w:rPr>
                <w:rFonts w:hint="eastAsia" w:ascii="楷体_GB2312" w:eastAsia="楷体_GB2312"/>
                <w:sz w:val="21"/>
                <w:szCs w:val="21"/>
              </w:rPr>
              <w:t>加快实施水城鑫晟煤化工30万吨/年煤制甲醇复产技改项目建设，</w:t>
            </w:r>
            <w:r>
              <w:rPr>
                <w:rFonts w:hint="eastAsia" w:ascii="楷体_GB2312" w:eastAsia="楷体_GB2312"/>
                <w:color w:val="000000" w:themeColor="text1"/>
                <w:sz w:val="21"/>
                <w:szCs w:val="21"/>
                <w14:textFill>
                  <w14:solidFill>
                    <w14:schemeClr w14:val="tx1"/>
                  </w14:solidFill>
                </w14:textFill>
              </w:rPr>
              <w:t>有序推进贵州贵能公司年产100万吨煤制甲醇项目。</w:t>
            </w:r>
          </w:p>
        </w:tc>
      </w:tr>
    </w:tbl>
    <w:p>
      <w:pPr>
        <w:spacing w:before="240" w:line="570" w:lineRule="exact"/>
        <w:ind w:firstLine="643"/>
        <w:jc w:val="center"/>
      </w:pPr>
      <w:r>
        <w:rPr>
          <w:rFonts w:hint="eastAsia"/>
          <w:b/>
          <w:bCs/>
        </w:rPr>
        <w:t>第二节 推进传统材料产业提质增效</w:t>
      </w:r>
    </w:p>
    <w:p>
      <w:pPr>
        <w:ind w:firstLine="640"/>
      </w:pPr>
      <w:r>
        <w:rPr>
          <w:rFonts w:hint="eastAsia"/>
        </w:rPr>
        <w:t>加快“智能工厂”、“绿色工厂”建设，聚焦装备升级改造，大力发展智能煤机装备制造及检修服务。支持铝加工企业实施废铝再利用短流程项目。推进建材产业绿色低碳发展，大力发展新型建材、建材深加工产品和无机非金属新材料，坚持节能环保绿色低碳，推进尾矿、脱硫石膏、煤矸石、冶炼废渣等大宗固体废物综合利用项目建设。推进全区石材资源绿色化开发。发展废钢回收利用，推进装配式建筑、立体停车库等多元产业发展。</w:t>
      </w:r>
    </w:p>
    <w:p>
      <w:pPr>
        <w:pStyle w:val="2"/>
        <w:rPr>
          <w:rFonts w:eastAsiaTheme="minorEastAsia"/>
        </w:rPr>
      </w:pPr>
    </w:p>
    <w:p>
      <w:pPr>
        <w:pStyle w:val="4"/>
      </w:pPr>
    </w:p>
    <w:p>
      <w:pPr>
        <w:pStyle w:val="4"/>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 xml:space="preserve">4 </w:t>
            </w:r>
            <w:r>
              <w:rPr>
                <w:rFonts w:hint="eastAsia" w:ascii="楷体" w:hAnsi="楷体" w:eastAsia="楷体"/>
                <w:sz w:val="26"/>
                <w:szCs w:val="26"/>
              </w:rPr>
              <w:t>建材产业重点项目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52" w:type="dxa"/>
          </w:tcPr>
          <w:p>
            <w:pPr>
              <w:pStyle w:val="2"/>
              <w:spacing w:before="60" w:line="280" w:lineRule="exact"/>
              <w:ind w:firstLine="268" w:firstLineChars="127"/>
              <w:rPr>
                <w:rFonts w:ascii="楷体_GB2312" w:eastAsia="楷体_GB2312"/>
              </w:rPr>
            </w:pPr>
            <w:r>
              <w:rPr>
                <w:rFonts w:hint="eastAsia" w:ascii="楷体_GB2312" w:eastAsia="楷体_GB2312"/>
                <w:b/>
                <w:bCs/>
              </w:rPr>
              <w:t>建材项目</w:t>
            </w:r>
          </w:p>
          <w:p>
            <w:pPr>
              <w:pStyle w:val="2"/>
              <w:spacing w:before="60" w:line="280" w:lineRule="exact"/>
              <w:ind w:firstLine="420" w:firstLineChars="200"/>
              <w:rPr>
                <w:rFonts w:eastAsiaTheme="minorEastAsia"/>
              </w:rPr>
            </w:pPr>
            <w:r>
              <w:rPr>
                <w:rFonts w:hint="eastAsia" w:ascii="楷体_GB2312" w:eastAsia="楷体_GB2312"/>
              </w:rPr>
              <w:t>重点实施水城石材产业园生产加工基地、水城发耳产业园区100万</w:t>
            </w:r>
            <w:r>
              <w:rPr>
                <w:rFonts w:hint="eastAsia" w:ascii="Segoe UI Symbol" w:hAnsi="Segoe UI Symbol" w:eastAsia="Segoe UI Symbol" w:cs="Segoe UI Symbol"/>
              </w:rPr>
              <w:t>㎡</w:t>
            </w:r>
            <w:r>
              <w:rPr>
                <w:rFonts w:hint="eastAsia" w:ascii="楷体_GB2312" w:eastAsia="楷体_GB2312" w:cs="仿宋_GB2312"/>
              </w:rPr>
              <w:t>节能环保轻质墙板材料</w:t>
            </w:r>
            <w:r>
              <w:rPr>
                <w:rFonts w:hint="eastAsia" w:ascii="楷体_GB2312" w:eastAsia="楷体_GB2312"/>
              </w:rPr>
              <w:t>、</w:t>
            </w:r>
            <w:r>
              <w:rPr>
                <w:rFonts w:hint="eastAsia" w:ascii="楷体_GB2312" w:eastAsia="楷体_GB2312"/>
                <w:color w:val="000000" w:themeColor="text1"/>
                <w14:textFill>
                  <w14:solidFill>
                    <w14:schemeClr w14:val="tx1"/>
                  </w14:solidFill>
                </w14:textFill>
              </w:rPr>
              <w:t>发耳电厂固体废弃物综合利用</w:t>
            </w:r>
            <w:r>
              <w:rPr>
                <w:rFonts w:hint="eastAsia" w:ascii="楷体_GB2312" w:eastAsia="楷体_GB2312"/>
              </w:rPr>
              <w:t>、水城发耳园区脱硫石膏综合利用、水城发耳园区新型建材示范基地、水城经开区固体废弃物综合处理、水城经开区工业固废循环化生产陶粒、水城经开区海螺水泥厂技改、水城瑞安矿山废矿石资源综合利用、水城海螺盘江水泥有限责任公司4500t/d新型干法水泥熟料生产线、水城经开区垃圾分类产品深加工、水城区发耳产业园区30万立方米高强粉煤灰复合陶粒、水城区饰面石材调查32个区块详查等项目建设。</w:t>
            </w:r>
          </w:p>
        </w:tc>
      </w:tr>
    </w:tbl>
    <w:p>
      <w:pPr>
        <w:spacing w:before="240" w:line="570" w:lineRule="exact"/>
        <w:ind w:firstLine="643"/>
        <w:jc w:val="center"/>
        <w:rPr>
          <w:b/>
          <w:bCs/>
        </w:rPr>
      </w:pPr>
      <w:r>
        <w:rPr>
          <w:rFonts w:hint="eastAsia"/>
          <w:b/>
          <w:bCs/>
        </w:rPr>
        <w:t>第三节 推进电力产业清洁高效发展</w:t>
      </w:r>
    </w:p>
    <w:p>
      <w:pPr>
        <w:ind w:firstLine="640"/>
      </w:pPr>
      <w:r>
        <w:rPr>
          <w:rFonts w:hint="eastAsia"/>
        </w:rPr>
        <w:t>加快发展清洁高效电力产业，推进实施煤电联营、热电联产，积极稳妥推动风力、光伏、生物质能、垃圾焚烧等非化石能源和水能发电。加快建成贵州省氢能源产业发展研究中心，积极创建氢能源产业示范区。有序发展光伏发电产业。加快推进水城鸡场安居农业光伏电站、水城杨梅光明农业光伏电站、水城玉舍青松农业光伏电站、水城阿戛农业光伏电站、水城猴场农业光伏电站、水城老虎梁子风电场、水城仙水坡风电站等项目建设，进一步提高清洁能源发电装机占比，到</w:t>
      </w:r>
      <w:r>
        <w:t>2025年总装机500万KW，总发电量195亿度，其中增加高清洁能源发电装机57.4万KW</w:t>
      </w:r>
      <w:r>
        <w:rPr>
          <w:rFonts w:hint="eastAsia"/>
        </w:rPr>
        <w:t>。有效利用煤矸石、矿井水、瓦斯、煤层气、天然气、页岩气等资源，着力提高煤矿瓦斯、垃圾、农林废弃物综合利用率，打造多能互补综合能源系统。到</w:t>
      </w:r>
      <w:r>
        <w:t>2025年煤矸石利用率达85%，煤矿瓦斯综合利用率达80%，煤矿废水利用率达85%</w:t>
      </w:r>
      <w:r>
        <w:rPr>
          <w:rFonts w:hint="eastAsia"/>
        </w:rPr>
        <w:t>。依托水城经开区，积极谋划建设低热值发电产业，重点推进董地1</w:t>
      </w:r>
      <w:r>
        <w:t>X1000MW二次再热高效超超临界智慧示范发电</w:t>
      </w:r>
      <w:r>
        <w:rPr>
          <w:rFonts w:hint="eastAsia"/>
        </w:rPr>
        <w:t>厂建设。</w:t>
      </w:r>
    </w:p>
    <w:p>
      <w:pPr>
        <w:spacing w:after="120"/>
        <w:ind w:firstLine="640"/>
      </w:pPr>
      <w:r>
        <w:rPr>
          <w:rFonts w:hint="eastAsia"/>
        </w:rPr>
        <w:t>强化煤电联营。积极参与“西电东送”战略，深入实施能源工业运行新机制，扎实做好电煤保障工作，加快完善煤、电利益联结机制，着力推动煤电一体化、合作经营、来料加工、互相参股、签订中长期供煤协议等煤电联营模式，实现煤、电企业利益共同化，</w:t>
      </w:r>
      <w:r>
        <w:t>积极参与建设“贵州能源云”智慧管理系统，</w:t>
      </w:r>
      <w:r>
        <w:rPr>
          <w:rFonts w:hint="eastAsia"/>
        </w:rPr>
        <w:t>加快推进水城电煤保供应急存煤基地建设。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 xml:space="preserve">5 </w:t>
            </w:r>
            <w:r>
              <w:rPr>
                <w:rFonts w:hint="eastAsia" w:ascii="楷体" w:hAnsi="楷体" w:eastAsia="楷体"/>
                <w:sz w:val="26"/>
                <w:szCs w:val="26"/>
              </w:rPr>
              <w:t>能源产业重点项目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火力发电项目</w:t>
            </w:r>
          </w:p>
          <w:p>
            <w:pPr>
              <w:spacing w:before="60" w:line="260" w:lineRule="exact"/>
              <w:ind w:firstLine="420"/>
              <w:rPr>
                <w:rFonts w:ascii="楷体" w:hAnsi="楷体" w:eastAsia="楷体"/>
                <w:sz w:val="26"/>
                <w:szCs w:val="26"/>
              </w:rPr>
            </w:pPr>
            <w:r>
              <w:rPr>
                <w:rFonts w:hint="eastAsia" w:ascii="楷体_GB2312" w:eastAsia="楷体_GB2312"/>
                <w:sz w:val="21"/>
                <w:szCs w:val="21"/>
              </w:rPr>
              <w:t>重点实施董地1×1000MW二次再热高效超超临界智慧示范发电项目。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新能源项目</w:t>
            </w:r>
          </w:p>
          <w:p>
            <w:pPr>
              <w:spacing w:line="260" w:lineRule="exact"/>
              <w:ind w:firstLine="422"/>
              <w:rPr>
                <w:rFonts w:ascii="楷体_GB2312" w:eastAsia="楷体_GB2312"/>
                <w:sz w:val="21"/>
                <w:szCs w:val="21"/>
              </w:rPr>
            </w:pPr>
            <w:r>
              <w:rPr>
                <w:rFonts w:hint="eastAsia" w:ascii="楷体_GB2312" w:eastAsia="楷体_GB2312"/>
                <w:b/>
                <w:bCs/>
                <w:sz w:val="21"/>
                <w:szCs w:val="21"/>
              </w:rPr>
              <w:t>光伏发电</w:t>
            </w:r>
            <w:r>
              <w:rPr>
                <w:rFonts w:hint="eastAsia" w:ascii="楷体_GB2312" w:eastAsia="楷体_GB2312"/>
                <w:sz w:val="21"/>
                <w:szCs w:val="21"/>
              </w:rPr>
              <w:t>：重点实施玉舍青松5万千瓦光伏电站、阿戛农业7万千瓦光伏电站、猴场农业4万千瓦光伏电站、鸡场安居农业10万千瓦光伏电站、水城杨梅光明农业5万千瓦光伏电站等项目建设。</w:t>
            </w:r>
          </w:p>
          <w:p>
            <w:pPr>
              <w:spacing w:line="260" w:lineRule="exact"/>
              <w:ind w:firstLine="422"/>
              <w:rPr>
                <w:rFonts w:ascii="楷体" w:hAnsi="楷体" w:eastAsia="楷体"/>
                <w:sz w:val="26"/>
                <w:szCs w:val="26"/>
              </w:rPr>
            </w:pPr>
            <w:r>
              <w:rPr>
                <w:rFonts w:hint="eastAsia" w:ascii="楷体_GB2312" w:eastAsia="楷体_GB2312"/>
                <w:b/>
                <w:bCs/>
                <w:sz w:val="21"/>
                <w:szCs w:val="21"/>
              </w:rPr>
              <w:t>风电</w:t>
            </w:r>
            <w:r>
              <w:rPr>
                <w:rFonts w:hint="eastAsia" w:ascii="楷体_GB2312" w:eastAsia="楷体_GB2312"/>
                <w:sz w:val="21"/>
                <w:szCs w:val="21"/>
              </w:rPr>
              <w:t>：重点实施水城老虎梁子风电场、水城玉舍仙水坡风电场等项目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氢能源项目</w:t>
            </w:r>
          </w:p>
          <w:p>
            <w:pPr>
              <w:spacing w:line="260" w:lineRule="exact"/>
              <w:ind w:firstLine="420"/>
              <w:rPr>
                <w:rFonts w:ascii="楷体" w:hAnsi="楷体" w:eastAsia="楷体"/>
                <w:sz w:val="26"/>
                <w:szCs w:val="26"/>
              </w:rPr>
            </w:pPr>
            <w:r>
              <w:rPr>
                <w:rFonts w:hint="eastAsia" w:ascii="楷体_GB2312" w:eastAsia="楷体_GB2312"/>
                <w:sz w:val="21"/>
                <w:szCs w:val="21"/>
              </w:rPr>
              <w:t>重点实施水城经开区煤焦化提氢项目建设。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电池制造项目</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重点实施水城年产3万吨电池及高纯硫酸锰技改、水城经开区新能源电池负极材料生产等项目建设。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瓦斯发电</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重点实施水城凉水沟煤矿瓦斯发电、发耳二矿瓦斯发电、水城玉舍煤矿东井瓦斯发电、米箩煤矿瓦斯发电、水城都格河边煤矿瓦斯发电、水城阿戛陈家沟煤矿瓦斯发电、水城大坪煤矿瓦斯发电等项目建设。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其他发电</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w:t>
            </w:r>
            <w:r>
              <w:rPr>
                <w:rFonts w:hint="eastAsia" w:ascii="楷体_GB2312" w:eastAsia="楷体_GB2312"/>
                <w:color w:val="000000" w:themeColor="text1"/>
                <w:sz w:val="21"/>
                <w:szCs w:val="21"/>
                <w14:textFill>
                  <w14:solidFill>
                    <w14:schemeClr w14:val="tx1"/>
                  </w14:solidFill>
                </w14:textFill>
              </w:rPr>
              <w:t>水城金狮子一级水电站</w:t>
            </w:r>
            <w:r>
              <w:rPr>
                <w:rFonts w:hint="eastAsia" w:ascii="楷体_GB2312" w:eastAsia="楷体_GB2312"/>
                <w:sz w:val="21"/>
                <w:szCs w:val="21"/>
              </w:rPr>
              <w:t>、水城干坝水电站、水城蟠龙水电站等项目建设。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34"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7 </w:t>
            </w:r>
            <w:r>
              <w:rPr>
                <w:rFonts w:hint="eastAsia" w:ascii="楷体_GB2312" w:eastAsia="楷体_GB2312"/>
                <w:b/>
                <w:bCs/>
                <w:sz w:val="21"/>
                <w:szCs w:val="21"/>
              </w:rPr>
              <w:t>变电站</w:t>
            </w:r>
          </w:p>
          <w:p>
            <w:pPr>
              <w:pStyle w:val="2"/>
              <w:spacing w:line="260" w:lineRule="exact"/>
              <w:ind w:firstLine="420" w:firstLineChars="200"/>
              <w:rPr>
                <w:rFonts w:eastAsiaTheme="minorEastAsia"/>
              </w:rPr>
            </w:pPr>
            <w:r>
              <w:rPr>
                <w:rFonts w:hint="eastAsia" w:ascii="楷体_GB2312" w:eastAsia="楷体_GB2312"/>
              </w:rPr>
              <w:t>重点实施220千伏水城变电站增容改造等项目。</w:t>
            </w:r>
          </w:p>
        </w:tc>
      </w:tr>
    </w:tbl>
    <w:p>
      <w:pPr>
        <w:pStyle w:val="6"/>
        <w:spacing w:before="222"/>
      </w:pPr>
      <w:bookmarkStart w:id="17" w:name="_Toc63250052"/>
      <w:r>
        <w:rPr>
          <w:rFonts w:hint="eastAsia"/>
        </w:rPr>
        <w:t>第六章 加快新兴产业全链条发展</w:t>
      </w:r>
      <w:bookmarkEnd w:id="17"/>
    </w:p>
    <w:p>
      <w:pPr>
        <w:ind w:firstLine="640"/>
      </w:pPr>
      <w:r>
        <w:rPr>
          <w:rFonts w:hint="eastAsia"/>
        </w:rPr>
        <w:t>在国家产业政策指导下，充分立足水城煤电优势，加快培育壮大</w:t>
      </w:r>
      <w:r>
        <w:t>新兴产业，积极培育发展一批新技术、新产品、新业态、新模式，打造一批新的发展引擎。</w:t>
      </w:r>
    </w:p>
    <w:p>
      <w:pPr>
        <w:spacing w:line="570" w:lineRule="exact"/>
        <w:ind w:firstLine="0" w:firstLineChars="0"/>
        <w:jc w:val="center"/>
      </w:pPr>
      <w:r>
        <w:rPr>
          <w:rFonts w:hint="eastAsia"/>
          <w:b/>
          <w:bCs/>
        </w:rPr>
        <w:t>第一节 做大做强铝及铝加工业</w:t>
      </w:r>
    </w:p>
    <w:p>
      <w:pPr>
        <w:ind w:firstLine="640"/>
      </w:pPr>
      <w:r>
        <w:rPr>
          <w:rFonts w:hint="eastAsia"/>
        </w:rPr>
        <w:t>要紧扣补链、延链、强链，持续引进一批铝</w:t>
      </w:r>
      <w:r>
        <w:t>产业下游终端、高端产品，推动铝产业集群发展迈向高端化。</w:t>
      </w:r>
      <w:r>
        <w:rPr>
          <w:rFonts w:hint="eastAsia"/>
        </w:rPr>
        <w:t>围绕“做大上游、做强中游、做精下游”，按照“</w:t>
      </w:r>
      <w:r>
        <w:t>1+3+N”的发展思路，</w:t>
      </w:r>
      <w:r>
        <w:rPr>
          <w:rFonts w:hint="eastAsia"/>
        </w:rPr>
        <w:t>以产能就地转化为着力点，合理推进铝棒、铝板材、铝卷材等下游产业链聚集，打造以铝制智能家居和建筑装饰型材为主的产业集群，形成“三链两集群”产业发展格局。以水城经开区为载体，推进双元铝业改造升级和第三轮、第四轮就地转化，支持双元铝业</w:t>
      </w:r>
      <w:r>
        <w:t>30万吨技改项目</w:t>
      </w:r>
      <w:r>
        <w:rPr>
          <w:rFonts w:hint="eastAsia"/>
        </w:rPr>
        <w:t>，带动十九度铝业、亮星铝业、安润吉、莹月帆、瑞迈特、扎亚铝业、力威铝业、九衡铝业等上下游企业协同发展，更快促成产品结构由初级原料向精深产品转型，打造西南地区百亿级铝及铝精深加工基地，到</w:t>
      </w:r>
      <w:r>
        <w:t>2025年，实现产值200亿元以上</w:t>
      </w:r>
      <w:r>
        <w:rPr>
          <w:rFonts w:hint="eastAsia"/>
        </w:rPr>
        <w:t>，力争达到3</w:t>
      </w:r>
      <w:r>
        <w:t>00</w:t>
      </w:r>
      <w:r>
        <w:rPr>
          <w:rFonts w:hint="eastAsia"/>
        </w:rPr>
        <w:t>亿元</w:t>
      </w:r>
      <w:r>
        <w:t>。</w:t>
      </w:r>
    </w:p>
    <w:p>
      <w:pPr>
        <w:spacing w:line="570" w:lineRule="exact"/>
        <w:ind w:firstLine="0" w:firstLineChars="0"/>
        <w:jc w:val="center"/>
        <w:rPr>
          <w:b/>
          <w:bCs/>
        </w:rPr>
      </w:pPr>
      <w:r>
        <w:rPr>
          <w:rFonts w:hint="eastAsia"/>
          <w:b/>
          <w:bCs/>
        </w:rPr>
        <w:t>第二节 积极推动玄武岩新材料产业发展</w:t>
      </w:r>
    </w:p>
    <w:p>
      <w:pPr>
        <w:ind w:firstLine="640"/>
        <w:rPr>
          <w:b/>
          <w:bCs/>
        </w:rPr>
      </w:pPr>
      <w:r>
        <w:rPr>
          <w:rFonts w:hint="eastAsia"/>
        </w:rPr>
        <w:t>依托水城丰富的玄武岩资源储备，以玄武岩产业集群为核心，以水城经开区为重点，加快推进玄武岩复合材料创新发展，重点开发环境治理材料、高温耐腐蚀滤料、避火阻燃隔热面料、防腐材料、汽车用轻量化复合材料、轻质航空航天材料、海事与海洋工程等领域产品，建设玄武岩连续纤维智能化生产线及制品生产线，按照实现</w:t>
      </w:r>
      <w:r>
        <w:t>1个基地（全球最大的玄武岩纤维生产基地）、2个中心（玄武岩新材料制造业创新中心和工程技术研究中心）、3个平台（玄武岩新材料生产示范应用平台、标准测试评价平台、参数库资源共享平台）的发展目标，打造全国最大的玄武岩纤维生产基地，加快推</w:t>
      </w:r>
      <w:r>
        <w:rPr>
          <w:rFonts w:hint="eastAsia"/>
        </w:rPr>
        <w:t>进玄武岩纤维及后制品产业规模化发展</w:t>
      </w:r>
      <w:r>
        <w:rPr>
          <w:rFonts w:hint="eastAsia"/>
          <w:b/>
          <w:bCs/>
        </w:rPr>
        <w:t>。</w:t>
      </w:r>
      <w:r>
        <w:rPr>
          <w:rFonts w:hint="eastAsia"/>
        </w:rPr>
        <w:t>到</w:t>
      </w:r>
      <w:r>
        <w:t>2025年，实现产值</w:t>
      </w:r>
      <w:r>
        <w:rPr>
          <w:rFonts w:hint="eastAsia"/>
        </w:rPr>
        <w:t>10</w:t>
      </w:r>
      <w:r>
        <w:t>亿元以上。</w:t>
      </w:r>
    </w:p>
    <w:p>
      <w:pPr>
        <w:spacing w:line="570" w:lineRule="exact"/>
        <w:ind w:firstLine="0" w:firstLineChars="0"/>
        <w:jc w:val="center"/>
      </w:pPr>
      <w:r>
        <w:rPr>
          <w:rFonts w:hint="eastAsia"/>
          <w:b/>
          <w:bCs/>
        </w:rPr>
        <w:t>第三节 积极发展锂锰新材料产业</w:t>
      </w:r>
    </w:p>
    <w:p>
      <w:pPr>
        <w:spacing w:after="120"/>
        <w:ind w:firstLine="640"/>
      </w:pPr>
      <w:r>
        <w:rPr>
          <w:rFonts w:hint="eastAsia"/>
        </w:rPr>
        <w:t>按照“多元一体化”产业发展格局，以生产新能源电池为目标，配套引进或建设钴镍锰（电池级原材料）、氢氧化锂（电池级正极材料）、隔膜（电池级负极材料）等关联产业，支持高纯硫酸锰生产线及相关配套设施建设，深入推进煤电硫锂锰一体化发展，建成在全国有一定影响力的西南地区锰锂电池新材料生产基地。有序开发本地锰矿、萤石资源，加快推进水城经开区高纯硫酸锰二期和三期、电池级硫酸锰等项目建设，力争成为西南地区最大的硫酸锰生产基地。到</w:t>
      </w:r>
      <w:r>
        <w:t>2025年，实现产值</w:t>
      </w:r>
      <w:r>
        <w:rPr>
          <w:rFonts w:hint="eastAsia"/>
        </w:rPr>
        <w:t>10</w:t>
      </w:r>
      <w:r>
        <w:t>亿元以上。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 xml:space="preserve">6 </w:t>
            </w:r>
            <w:r>
              <w:rPr>
                <w:rFonts w:hint="eastAsia" w:ascii="楷体" w:hAnsi="楷体" w:eastAsia="楷体"/>
                <w:sz w:val="26"/>
                <w:szCs w:val="26"/>
              </w:rPr>
              <w:t>新兴产业发展重点项目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60" w:lineRule="exact"/>
              <w:ind w:firstLine="21" w:firstLineChars="1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铝及铝精深加工项目</w:t>
            </w:r>
          </w:p>
          <w:p>
            <w:pPr>
              <w:spacing w:before="60" w:line="260" w:lineRule="exact"/>
              <w:ind w:firstLine="420"/>
              <w:rPr>
                <w:rFonts w:ascii="黑体" w:hAnsi="黑体" w:eastAsia="黑体"/>
                <w:sz w:val="26"/>
                <w:szCs w:val="26"/>
              </w:rPr>
            </w:pPr>
            <w:r>
              <w:rPr>
                <w:rFonts w:hint="eastAsia" w:ascii="楷体_GB2312" w:eastAsia="楷体_GB2312"/>
                <w:sz w:val="21"/>
                <w:szCs w:val="21"/>
              </w:rPr>
              <w:t>重点实施水城鑫泰源年产30万吨技改扩能、水城经开区年产30万吨短流程再生铝循环利用、水城经开区年产10万吨热轧冷轧铝、水城经开区睿拓传动系统电动升降机生产、水城经开区同创祥宇家用电器线材生产、水城越扬年产2万吨铝型材生产、水城经开区荣辉玻璃二期技改、水城札亚铝业科技有限公司年产4.5万吨铝制环保装饰材料生产、水城札亚铝业科技有限公司年产5万吨铝合金再生资源生产、水城经开区智慧电暖课桌生产、水城经开区电压力锅生产、水城经开区电磁炉、水城经开区玄武岩纤维汽车零部件、货箱及观光车技术研发、水城经开区铝产业链研发中心、高铁领域和航空领域合金铝及电子产品领域高品质铝研发生产、水城经开区年产20万件轻量化铝镁合金智能箱包研发生产、六盘水市铝产品仓储交易中心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60" w:lineRule="exact"/>
              <w:ind w:firstLine="21" w:firstLineChars="1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锂锰新材料项目</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水城合众锰业年产20万吨高纯硫酸锰、水城经开区合众高科锂业矿石绿色提锂制备电池级锂盐生产、水城经开区煤电硫锰锂一体化、水城年产3万吨电池及高纯硫酸锰技改、水城经开区新能源电池负极材料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玄武岩产业</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水城经开区玄武岩产业园（包含纤维汽车零部件、货箱及观光车技术研发制造，玄武岩铂铑合金漏板改造、玄武岩纤维复合拉缠管、玄武岩纤维复合轮毂制品生产，玄武岩纤维改性增强塑料材料、特种液体管道研发制造，玄武岩石膏板、步道板及电力设施生产）、水城易扶后续扶持产业玄武岩纤维增强材料扶贫工厂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060" w:type="dxa"/>
          </w:tcPr>
          <w:p>
            <w:pPr>
              <w:spacing w:before="60" w:line="26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其他特色产业</w:t>
            </w:r>
          </w:p>
          <w:p>
            <w:pPr>
              <w:pStyle w:val="2"/>
              <w:spacing w:line="260" w:lineRule="exact"/>
              <w:ind w:firstLine="420" w:firstLineChars="200"/>
              <w:rPr>
                <w:rFonts w:eastAsiaTheme="minorEastAsia"/>
              </w:rPr>
            </w:pPr>
            <w:r>
              <w:rPr>
                <w:rFonts w:hint="eastAsia" w:ascii="楷体_GB2312" w:eastAsia="楷体_GB2312"/>
              </w:rPr>
              <w:t>重点实施水城经开区凉都食品药品加工贸易产业园项目。推进石材加工项目，年加工生产能力200万平方米石材板材。推进水城紫杉醇提取加工、水城经开区电暖炉研发设计及电子商务、水城经开区电动升降机生产、水城经开区家用电器发热件生产等项目建设。</w:t>
            </w:r>
          </w:p>
        </w:tc>
      </w:tr>
    </w:tbl>
    <w:p>
      <w:pPr>
        <w:pStyle w:val="6"/>
        <w:spacing w:before="222"/>
      </w:pPr>
      <w:bookmarkStart w:id="18" w:name="_Toc63250053"/>
      <w:r>
        <w:rPr>
          <w:rFonts w:hint="eastAsia"/>
        </w:rPr>
        <w:t>第七章 推进承接产业转移</w:t>
      </w:r>
      <w:bookmarkEnd w:id="18"/>
      <w:bookmarkStart w:id="19" w:name="_Hlk56288207"/>
    </w:p>
    <w:p>
      <w:pPr>
        <w:ind w:firstLine="640"/>
      </w:pPr>
      <w:r>
        <w:rPr>
          <w:rFonts w:hint="eastAsia"/>
        </w:rPr>
        <w:t>提高认识、发挥优势、积极对接、做好服务，推动水城在更大范围、更宽领域、更深层次承接成渝经济圈、珠三角、长三角地区的产业转移</w:t>
      </w:r>
      <w:bookmarkEnd w:id="19"/>
      <w:r>
        <w:rPr>
          <w:rFonts w:hint="eastAsia"/>
        </w:rPr>
        <w:t>。着力优化承接产业发展环境，为承接产业转移提供有力保障，积极出台优惠政策，在土地、资金、技术、人才、电力等方面切实提供优惠保障措施，推行重大招商项目“一事一议”，转移产业企业项目手续报批实行一站式快速办理。选拔优秀人才，组建招商专业队伍，采取驻点招商、上门招商、产业链招商、平台招商、点对点招商等模式，在北京、上海、广州、深圳等一线城市实现常驻招商。</w:t>
      </w:r>
    </w:p>
    <w:p>
      <w:pPr>
        <w:spacing w:after="120"/>
        <w:ind w:firstLine="640"/>
      </w:pPr>
      <w:r>
        <w:rPr>
          <w:rFonts w:hint="eastAsia"/>
        </w:rPr>
        <w:t>打造承接平台，依托发耳产业园和水城经开区的空间、能源和人力优势，加快承接产业转移集聚区建设，引入劳动密集型环境友好型的转移产业，加大纺织、制衣制鞋、箱包制造等劳动密集型产业招商引资力度。打造纺织全产业链，走差别化、特色化现代纺织产业发展之路，建设以无水染整为核心的西南地区新兴纺织产业基地。依托易扶搬迁点劳动力密集型优势，大力发展成衣制造。促进经济发展和解决就业问题。</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专栏7</w:t>
            </w:r>
            <w:r>
              <w:rPr>
                <w:rFonts w:ascii="楷体" w:hAnsi="楷体" w:eastAsia="楷体"/>
                <w:sz w:val="26"/>
                <w:szCs w:val="26"/>
              </w:rPr>
              <w:t xml:space="preserve"> </w:t>
            </w:r>
            <w:r>
              <w:rPr>
                <w:rFonts w:hint="eastAsia" w:ascii="楷体" w:hAnsi="楷体" w:eastAsia="楷体"/>
                <w:sz w:val="26"/>
                <w:szCs w:val="26"/>
              </w:rPr>
              <w:t>纺织产业重点项目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727" w:type="dxa"/>
          </w:tcPr>
          <w:p>
            <w:pPr>
              <w:spacing w:before="60"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染整</w:t>
            </w:r>
          </w:p>
          <w:p>
            <w:pPr>
              <w:spacing w:before="60" w:line="280" w:lineRule="exact"/>
              <w:ind w:firstLine="420"/>
              <w:rPr>
                <w:sz w:val="28"/>
                <w:szCs w:val="28"/>
              </w:rPr>
            </w:pPr>
            <w:r>
              <w:rPr>
                <w:rFonts w:hint="eastAsia" w:ascii="楷体_GB2312" w:eastAsia="楷体_GB2312"/>
                <w:sz w:val="21"/>
                <w:szCs w:val="21"/>
              </w:rPr>
              <w:t>重点实施水城年产8万吨绿色针织染整、水城1亿米机织染整等项目建设。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727"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纺纱与织布</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重点实施水城经开区纺织产业园、水城年产20万吨纺纱织布、</w:t>
            </w:r>
            <w:r>
              <w:rPr>
                <w:rFonts w:hint="eastAsia" w:ascii="楷体_GB2312" w:eastAsia="楷体_GB2312"/>
                <w:color w:val="000000" w:themeColor="text1"/>
                <w:sz w:val="21"/>
                <w:szCs w:val="21"/>
                <w14:textFill>
                  <w14:solidFill>
                    <w14:schemeClr w14:val="tx1"/>
                  </w14:solidFill>
                </w14:textFill>
              </w:rPr>
              <w:t>水城年产4万吨锦纶、水城年产4万吨涤纶、水城5000吨/年纺纱产业、水城1500台喷气织机示范项目</w:t>
            </w:r>
            <w:r>
              <w:rPr>
                <w:rFonts w:hint="eastAsia" w:ascii="楷体_GB2312" w:eastAsia="楷体_GB2312"/>
                <w:sz w:val="21"/>
                <w:szCs w:val="21"/>
              </w:rPr>
              <w:t>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27" w:type="dxa"/>
          </w:tcPr>
          <w:p>
            <w:pPr>
              <w:spacing w:before="60"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服装加工</w:t>
            </w:r>
          </w:p>
          <w:p>
            <w:pPr>
              <w:spacing w:before="60" w:line="280" w:lineRule="exact"/>
              <w:ind w:firstLine="420"/>
              <w:rPr>
                <w:rFonts w:ascii="楷体_GB2312" w:eastAsia="楷体_GB2312"/>
                <w:b/>
                <w:bCs/>
                <w:sz w:val="21"/>
                <w:szCs w:val="21"/>
              </w:rPr>
            </w:pPr>
            <w:r>
              <w:rPr>
                <w:rFonts w:hint="eastAsia" w:ascii="楷体_GB2312" w:eastAsia="楷体_GB2312"/>
                <w:sz w:val="21"/>
                <w:szCs w:val="21"/>
              </w:rPr>
              <w:t>重点实施水城经开区制鞋产业园、水城经开区成衣制造等项目。</w:t>
            </w:r>
          </w:p>
        </w:tc>
      </w:tr>
    </w:tbl>
    <w:p>
      <w:pPr>
        <w:pStyle w:val="6"/>
        <w:spacing w:before="222"/>
      </w:pPr>
      <w:bookmarkStart w:id="20" w:name="_Toc63250054"/>
      <w:r>
        <w:rPr>
          <w:rFonts w:hint="eastAsia"/>
        </w:rPr>
        <w:t>第八章 推动产业集聚发展</w:t>
      </w:r>
      <w:bookmarkEnd w:id="20"/>
    </w:p>
    <w:p>
      <w:pPr>
        <w:ind w:firstLine="640"/>
      </w:pPr>
      <w:r>
        <w:rPr>
          <w:rFonts w:hint="eastAsia"/>
        </w:rPr>
        <w:t>优化产业空间布局，聚焦特色产业，以产业园区为载体，推进产业集聚发展，打造特色产业集群，加快产城融合发展。</w:t>
      </w:r>
    </w:p>
    <w:p>
      <w:pPr>
        <w:spacing w:line="570" w:lineRule="exact"/>
        <w:ind w:firstLine="0" w:firstLineChars="0"/>
        <w:jc w:val="center"/>
        <w:rPr>
          <w:b/>
          <w:bCs/>
        </w:rPr>
      </w:pPr>
      <w:r>
        <w:rPr>
          <w:rFonts w:hint="eastAsia"/>
          <w:b/>
          <w:bCs/>
        </w:rPr>
        <w:t>第一节 优化产业空间布局</w:t>
      </w:r>
    </w:p>
    <w:p>
      <w:pPr>
        <w:ind w:firstLine="640"/>
      </w:pPr>
      <w:r>
        <w:rPr>
          <w:rFonts w:hint="eastAsia"/>
        </w:rPr>
        <w:t>打造主导产业明确、专业化分工协作、支撑服务保障有力的产业园区，形成以水城经开区为引擎，联动发耳产业园区发展的产业空间结构。加快建设一批创新平台、公共服务平台和接续替代产业平台，引导企业项目向园区集聚、生产要素向园区集中，提高园区发展质量和效益，形成集中布局、集聚发展、集约用地、特色鲜明的发展态势。加快推动双水城区和水城经开区市场体系、基础设施、公共服务和生态环保一体化建设，促进产城深度融合发展。</w:t>
      </w:r>
    </w:p>
    <w:p>
      <w:pPr>
        <w:ind w:firstLine="640"/>
      </w:pPr>
      <w:r>
        <w:rPr>
          <w:rFonts w:hint="eastAsia"/>
        </w:rPr>
        <w:t>以水城经开区为龙头，努力把水城经开区建设成为产业承载平台优越、产业实力雄厚、产城融合发展的产业增长极，辐射带动董地、老鹰山、尖山、新桥、陡箐、以朵、化乐、比德等乡（镇、街道）。水城经开区着力发展铝及铝加工、新材料产业集群，打造</w:t>
      </w:r>
      <w:r>
        <w:t>500亿级园区</w:t>
      </w:r>
      <w:r>
        <w:rPr>
          <w:rFonts w:hint="eastAsia"/>
        </w:rPr>
        <w:t>。</w:t>
      </w:r>
    </w:p>
    <w:p>
      <w:pPr>
        <w:ind w:firstLine="640"/>
      </w:pPr>
      <w:r>
        <w:rPr>
          <w:rFonts w:hint="eastAsia"/>
        </w:rPr>
        <w:t>以发耳循环经济示范园区为龙头，辐射带动发耳、鸡场、都格、杨梅、新街等乡镇。以产业转型升级示范区高质量发展为重点，建设承接东部地区产业转移的重要基地。发耳产业园区着力发展基础能源、新型建材产业集群，打造</w:t>
      </w:r>
      <w:r>
        <w:t>100亿级园区。</w:t>
      </w:r>
      <w:bookmarkStart w:id="21" w:name="_Hlk56291037"/>
      <w:r>
        <w:rPr>
          <w:rFonts w:hint="eastAsia"/>
        </w:rPr>
        <w:t>打造新型建筑建材生产示范基地，依托发耳电厂和发耳煤业等龙头企业，构建园区内完善的生态循环产业链，不断提高发耳电厂和发耳煤业的固体废物综合利用，着力发展新型建筑建材的加工生产，加快新型建筑建材市场建设步伐。</w:t>
      </w:r>
      <w:bookmarkEnd w:id="21"/>
    </w:p>
    <w:p>
      <w:pPr>
        <w:ind w:firstLine="640"/>
      </w:pPr>
      <w:r>
        <w:rPr>
          <w:rFonts w:hint="eastAsia"/>
        </w:rPr>
        <w:t>围绕各个园区主导产业，大力引进关联产业和相关配套产业，释放企业集聚效应，完善产业上下游链条，壮大产业集群。围绕企业发展的重点领域和关键环节，</w:t>
      </w:r>
      <w:bookmarkStart w:id="22" w:name="_Hlk56195731"/>
      <w:r>
        <w:rPr>
          <w:rFonts w:hint="eastAsia"/>
        </w:rPr>
        <w:t>做大做强产业发展布局，</w:t>
      </w:r>
      <w:bookmarkEnd w:id="22"/>
      <w:r>
        <w:rPr>
          <w:rFonts w:hint="eastAsia"/>
        </w:rPr>
        <w:t>突出各产业园区主导产业和特色优势产业，加快对产业的信息化、服务化、绿色化改造。加大园区建设模式、管理运营机制等改革力度，推进园区集群化、信息化、循环化发展。</w:t>
      </w:r>
    </w:p>
    <w:p>
      <w:pPr>
        <w:ind w:firstLine="640"/>
      </w:pPr>
      <w:r>
        <w:rPr>
          <w:rFonts w:hint="eastAsia"/>
        </w:rPr>
        <w:t>加强园区配套基础设施建设，推进产城融合发展。推进园区综合管廊、集中排污、供热、供气、供水、电网改造等基础设施建设，完善商务、休闲、居住等功能配套，加强产业项目配套支撑，营造集群发展环境。加快推进信息基础设施、电子政务、电子商务、物流等服务设施建设，实现宽带网、移动通讯网、无线网络与物联网等互联互通。通过挂牌上市、发行债券、设备租赁、股权并购等方式拓宽融资渠道，全面实行“多评合一”，降低企业融资和前期投入成本，不断增强园区集群效应。</w:t>
      </w:r>
    </w:p>
    <w:p>
      <w:pPr>
        <w:ind w:firstLine="640"/>
      </w:pPr>
      <w:r>
        <w:rPr>
          <w:rFonts w:hint="eastAsia"/>
        </w:rPr>
        <w:t>加快园区管理体制改革，明确机构性质、领导体制以及主体职能职责，进一步突出在招商引资、投资服务、项目建设、经济管理、科技创新等领域的职能职责，选优配强园区领导班子，有序推进建立财政独立核算制度、财税分层机制，淡化社会事务管理职能，制定管理机构权责清单。鼓励创新运营模式，推行“管委会</w:t>
      </w:r>
      <w:r>
        <w:t>+公司”运营新模式，提高市场化开发建设运营能力和水平。推进园区人事薪酬制度改革，推行市场化、企业化的选人用人模式，建立人员能进能出、干部能上能下、待遇能高能低的灵活用人分配机制，鼓励自主制定急需紧缺的高层次专业人才或特殊人才政策，加强干部交流和</w:t>
      </w:r>
      <w:r>
        <w:rPr>
          <w:rFonts w:hint="eastAsia"/>
        </w:rPr>
        <w:t>培训。</w:t>
      </w:r>
    </w:p>
    <w:p>
      <w:pPr>
        <w:ind w:firstLine="0" w:firstLineChars="0"/>
        <w:jc w:val="center"/>
        <w:rPr>
          <w:b/>
          <w:bCs/>
        </w:rPr>
      </w:pPr>
      <w:r>
        <w:rPr>
          <w:rFonts w:hint="eastAsia"/>
          <w:b/>
          <w:bCs/>
        </w:rPr>
        <w:t>第二节 培育壮大企业主体</w:t>
      </w:r>
    </w:p>
    <w:p>
      <w:pPr>
        <w:ind w:firstLine="640"/>
      </w:pPr>
      <w:r>
        <w:rPr>
          <w:rFonts w:hint="eastAsia"/>
        </w:rPr>
        <w:t>加快构建优质企业梯度培养体系</w:t>
      </w:r>
      <w:r>
        <w:rPr>
          <w:rFonts w:hint="eastAsia"/>
          <w:shd w:val="clear" w:color="auto" w:fill="FFFFFF"/>
        </w:rPr>
        <w:t>，</w:t>
      </w:r>
      <w:r>
        <w:rPr>
          <w:rFonts w:hint="eastAsia"/>
        </w:rPr>
        <w:t>加快国有平台公司市场化实体化集团化转型，扶持壮大一批民营企业，提升市场竞争力，扩大市场占有率。深入实施市场主体培育工程，精准引进一批竞争力强、具有自主创新能力的领军型企业、创新型企业、成长型企业。</w:t>
      </w:r>
      <w:r>
        <w:rPr>
          <w:rFonts w:hint="eastAsia"/>
          <w:shd w:val="clear" w:color="auto" w:fill="FFFFFF"/>
        </w:rPr>
        <w:t>充分发挥龙头企业“头雁”作用，带动中小企业专注发展核心业务，走专业化、精细化、特色化、新颖化发展道路。强化对企业的金融支持，健全企业公共服务体系。</w:t>
      </w:r>
      <w:r>
        <w:br w:type="page"/>
      </w:r>
    </w:p>
    <w:p>
      <w:pPr>
        <w:pStyle w:val="5"/>
      </w:pPr>
      <w:bookmarkStart w:id="23" w:name="_Toc63250055"/>
      <w:r>
        <w:rPr>
          <w:rFonts w:hint="eastAsia"/>
        </w:rPr>
        <w:t>第四篇 深入实施新型城镇化，高质量统筹城乡全面融合发展</w:t>
      </w:r>
      <w:bookmarkEnd w:id="23"/>
    </w:p>
    <w:p>
      <w:pPr>
        <w:ind w:firstLine="640"/>
      </w:pPr>
      <w:r>
        <w:rPr>
          <w:rFonts w:hint="eastAsia"/>
        </w:rPr>
        <w:t>坚持以人民为中心的发展思想，坚持宜居宜业宜游宜养的发展方向，以撤县设区为契机，加快新型城镇化发展步伐，统筹推进城乡一体化，城镇建设加快提升，城市管理加速赶超，把新型城镇化和城乡融合发展作为破解发展不平衡不充分矛盾的抓手，走山地特色新型城镇化道路，全面构建</w:t>
      </w:r>
      <w:r>
        <w:rPr>
          <w:rFonts w:hint="eastAsia"/>
          <w:lang w:eastAsia="zh-CN"/>
        </w:rPr>
        <w:t>康养水城</w:t>
      </w:r>
      <w:r>
        <w:rPr>
          <w:rFonts w:hint="eastAsia"/>
        </w:rPr>
        <w:t>新型城镇化新格局。</w:t>
      </w:r>
    </w:p>
    <w:p>
      <w:pPr>
        <w:pStyle w:val="6"/>
        <w:spacing w:before="222"/>
      </w:pPr>
      <w:bookmarkStart w:id="24" w:name="_Toc63250056"/>
      <w:r>
        <w:rPr>
          <w:rFonts w:hint="eastAsia"/>
        </w:rPr>
        <w:t>第九章 优化新型城镇化格局</w:t>
      </w:r>
      <w:bookmarkEnd w:id="24"/>
    </w:p>
    <w:p>
      <w:pPr>
        <w:ind w:firstLine="640"/>
      </w:pPr>
      <w:r>
        <w:rPr>
          <w:rFonts w:hint="eastAsia"/>
        </w:rPr>
        <w:t>通过编制国土空间规划，科学布局生产、生活、生态空间，划定生态保护红线、永久基本农田、城镇开发边界“三条红线”，塑造水城“同城一体、双核驱动、轴廊发展、多组相协”的总体空间格局，形成以国土空间规划为基础、以统一用途管制为手段的国土空间开发保护制度。</w:t>
      </w:r>
    </w:p>
    <w:p>
      <w:pPr>
        <w:spacing w:line="570" w:lineRule="exact"/>
        <w:ind w:firstLine="0" w:firstLineChars="0"/>
        <w:jc w:val="center"/>
        <w:rPr>
          <w:b/>
          <w:bCs/>
        </w:rPr>
      </w:pPr>
      <w:r>
        <w:rPr>
          <w:rFonts w:hint="eastAsia"/>
          <w:b/>
          <w:bCs/>
        </w:rPr>
        <w:t>第一节 城镇空间布局</w:t>
      </w:r>
    </w:p>
    <w:p>
      <w:pPr>
        <w:ind w:firstLine="640"/>
        <w:rPr>
          <w:rFonts w:hint="eastAsia" w:ascii="宋" w:hAnsi="宋" w:cs="宋"/>
          <w:color w:val="000000"/>
          <w:kern w:val="0"/>
          <w:sz w:val="27"/>
          <w:szCs w:val="27"/>
        </w:rPr>
      </w:pPr>
      <w:r>
        <w:rPr>
          <w:rFonts w:hint="eastAsia"/>
        </w:rPr>
        <w:t>以撤县设区为契机，强化东、西城区一体化发展。全面提升水城城区战略地位，构筑六盘水市中心城区“一城两区”一体化发展格局。按照“幸福六盘水，美丽东城区”的城市形象定位，将“美丽东城区”打造成为“山水园林之城，产业转型高地，陆港物流枢纽，美丽幸福家园”，与六盘水中心城区共同打造贵州西部核心城市组群。</w:t>
      </w:r>
    </w:p>
    <w:p>
      <w:pPr>
        <w:ind w:firstLine="640"/>
        <w:rPr>
          <w:b/>
          <w:bCs/>
        </w:rPr>
      </w:pPr>
      <w:r>
        <w:rPr>
          <w:rFonts w:hint="eastAsia"/>
        </w:rPr>
        <w:t>做大做强水城中心城区，特色化提升中心城区功能。双水片区作为水城区政治经济文化中心，重点从城区形象提升、交通网络完善、设施配套补齐、居住品质改善、公园绿地建设等方面推动城市建设，提升人民群众的幸福感和获得感。建设集行政办公、居住、教育医疗、休闲娱乐、商业购物、旅游接待于一体的现代城市综合服务区，增强辐射带动，逐步实现美丽东城区的</w:t>
      </w:r>
      <w:r>
        <w:rPr>
          <w:rFonts w:hint="eastAsia" w:cs="仿宋_GB2312"/>
        </w:rPr>
        <w:t>“山水园林之城，美丽幸福家园”</w:t>
      </w:r>
      <w:r>
        <w:rPr>
          <w:rFonts w:hint="eastAsia"/>
        </w:rPr>
        <w:t>。重点将双水城区打造成</w:t>
      </w:r>
      <w:r>
        <w:t>30万人以上，水城经开区打造成15万人以上，至“十四五”末水城区常住人口城镇化率达60%以上</w:t>
      </w:r>
      <w:r>
        <w:rPr>
          <w:rFonts w:hint="eastAsia"/>
        </w:rPr>
        <w:t>。老鹰山片区打造产城融合发展区，作为贵州省新型产业拓展区与循环经济示范区。完善产业服务配套，实现产城融合，提升改造煤炭传统产业，大力培育新工业体系，补齐、补强关联产品、关联企业和关联产业，支持水城经开区创建国家级经济技术开发区。着力构建以铝及铝精深加工为主，玄武岩、锰锂新材料、新能源化工为主导，智能终端及电子信息、特色农产品加工、重型装备制造等为辅的产业集群，引导企业不断创新和丰富产品体系，提升价值链，进行全链条优化，构建高效、清洁、低碳、循环的绿色循环工业体系。形成美丽东城区产业转型高地与陆港物流枢纽。</w:t>
      </w:r>
    </w:p>
    <w:p>
      <w:pPr>
        <w:ind w:firstLine="640"/>
      </w:pPr>
      <w:r>
        <w:rPr>
          <w:rFonts w:hint="eastAsia"/>
        </w:rPr>
        <w:t>推进发耳城市副中心建设，构建发耳5万人的小城市发展框架，辐射带动西部南部城镇组团发展，打造成为带动全区发展的副中心。推进发耳镇区、发耳产业园区产城融合发展。重点完善发耳镇区城市服务功能，补齐公共服务与基础设施短板，</w:t>
      </w:r>
      <w:bookmarkStart w:id="25" w:name="_Hlk56368437"/>
      <w:r>
        <w:rPr>
          <w:rFonts w:hint="eastAsia"/>
        </w:rPr>
        <w:t>支持发耳产业园区创建贵州省特色工业园区，推进发耳循环经济产业园区建设。结合全市和全区发展方式转变、产业结构调整、消费结构升级的需要，构建特色鲜明、结构合理、功能配套、竞争力强的产业体系，从能源化工业、轻工业、新型建材业、生产性服务业等四大产业实行重点突破，带动园区产业全面、协调、快速发展。</w:t>
      </w:r>
      <w:bookmarkEnd w:id="25"/>
    </w:p>
    <w:p>
      <w:pPr>
        <w:ind w:firstLine="640"/>
        <w:rPr>
          <w:rFonts w:eastAsiaTheme="minorEastAsia"/>
        </w:rPr>
      </w:pPr>
      <w:r>
        <w:rPr>
          <w:rFonts w:hint="eastAsia"/>
        </w:rPr>
        <w:t>一体化推进城乡融合，两轴三带（廊）协同联动。重点培育两条城镇发展轴，构建六（枝）水（城）威（宁）方向、毕（节）水（城）兴（义）方向两条主要城镇发展轴线，依托都香高速、杭瑞高速、水盘高速、六威昭城际铁路、毕水兴城际铁路、G356、G246等重要交通廊道，充分发挥交通廊道对水城城镇化发展的带动作用。加快推进三条城乡融合发展带建设，</w:t>
      </w:r>
      <w:r>
        <w:t>双水-以朵-董地-老鹰山-陡箐-百车河-玉舍-勺米</w:t>
      </w:r>
      <w:r>
        <w:rPr>
          <w:rFonts w:hint="eastAsia"/>
        </w:rPr>
        <w:t>打造</w:t>
      </w:r>
      <w:r>
        <w:t>城乡一体化协调示范带</w:t>
      </w:r>
      <w:r>
        <w:rPr>
          <w:rFonts w:hint="eastAsia"/>
        </w:rPr>
        <w:t>，适当划定城乡统筹一体化协调发展区，包含双水街道部分区域、</w:t>
      </w:r>
      <w:bookmarkStart w:id="26" w:name="_Hlk56367548"/>
      <w:r>
        <w:rPr>
          <w:rFonts w:hint="eastAsia"/>
        </w:rPr>
        <w:t>以朵街道、</w:t>
      </w:r>
      <w:bookmarkEnd w:id="26"/>
      <w:r>
        <w:rPr>
          <w:rFonts w:hint="eastAsia"/>
        </w:rPr>
        <w:t>老鹰山街道、尖山街道、新桥街道、董地街道、陡箐镇以及百车河、野玉海等区域，提高城乡协调发展带动能力。</w:t>
      </w:r>
      <w:bookmarkStart w:id="27" w:name="_Hlk56092107"/>
      <w:r>
        <w:t>猴场-蟠龙-阿戛-米箩-野钟-</w:t>
      </w:r>
      <w:r>
        <w:rPr>
          <w:rFonts w:hint="eastAsia"/>
        </w:rPr>
        <w:t>果布戛</w:t>
      </w:r>
      <w:bookmarkEnd w:id="27"/>
      <w:r>
        <w:rPr>
          <w:rFonts w:hint="eastAsia"/>
        </w:rPr>
        <w:t>打造</w:t>
      </w:r>
      <w:r>
        <w:t>农旅产业融合示范带</w:t>
      </w:r>
      <w:r>
        <w:rPr>
          <w:rFonts w:hint="eastAsia"/>
        </w:rPr>
        <w:t>，充分依托“</w:t>
      </w:r>
      <w:r>
        <w:t>8+1”农业产业园，大力推进“</w:t>
      </w:r>
      <w:bookmarkStart w:id="28" w:name="_Hlk63150724"/>
      <w:r>
        <w:t>种植业七特七快、养殖业三大三小</w:t>
      </w:r>
      <w:bookmarkEnd w:id="28"/>
      <w:r>
        <w:t>”的现代农业产业体系建设。野钟-花戛-顺场</w:t>
      </w:r>
      <w:r>
        <w:rPr>
          <w:rFonts w:hint="eastAsia"/>
        </w:rPr>
        <w:t>-龙场-</w:t>
      </w:r>
      <w:r>
        <w:t>营盘</w:t>
      </w:r>
      <w:r>
        <w:rPr>
          <w:rFonts w:hint="eastAsia"/>
        </w:rPr>
        <w:t>-</w:t>
      </w:r>
      <w:r>
        <w:t>鸡场-新街</w:t>
      </w:r>
      <w:r>
        <w:rPr>
          <w:rFonts w:hint="eastAsia"/>
        </w:rPr>
        <w:t>-发耳打造</w:t>
      </w:r>
      <w:r>
        <w:t>北盘江生态旅游协同带</w:t>
      </w:r>
      <w:r>
        <w:rPr>
          <w:rFonts w:hint="eastAsia"/>
        </w:rPr>
        <w:t>，依托北盘江沿线生态旅游资源开发、旅游特色小城镇建设，以休闲观光、养生度假、生产示范的农旅一体示范点，推动悠然山居乌蒙康养小镇等新建项目进度，不断推动城区、园区、景区、村域基础设施完善、公共服务水平和生态景观风貌的协同提升，建立避暑旅游、康养度假、乡村旅游、户外旅游、民族文化旅游等业态产品，全力打造绿色生态、康养旅游小城镇。</w:t>
      </w:r>
    </w:p>
    <w:p>
      <w:pPr>
        <w:spacing w:line="570" w:lineRule="exact"/>
        <w:ind w:firstLine="0" w:firstLineChars="0"/>
        <w:jc w:val="center"/>
      </w:pPr>
      <w:r>
        <w:rPr>
          <w:rFonts w:hint="eastAsia"/>
          <w:b/>
          <w:bCs/>
        </w:rPr>
        <w:t>第二节 培育发展特色小镇和小城镇</w:t>
      </w:r>
    </w:p>
    <w:p>
      <w:pPr>
        <w:ind w:firstLine="640"/>
      </w:pPr>
      <w:r>
        <w:rPr>
          <w:rFonts w:hint="eastAsia"/>
        </w:rPr>
        <w:t>坚持以城带乡、镇村联动，立足资源禀赋、地域特色、产业基础，重点围绕景区、园区，打造一批产业特色鲜明、人文底蕴深厚、服务设施完善、生态环境宜居、机制体制高效的绿色工矿型、生态产业型、商贸集散型、农旅一体型、旅游景观型等组团化特色小城镇。化乐</w:t>
      </w:r>
      <w:r>
        <w:t>-比德、都格-发耳-鸡场打造工业转型与生态修复小城镇组团，果布戛-野钟、米箩-阿戛-蟠龙-猴场打造农旅融合小城镇组团，玉舍-勺米-海坪-坪寨打造生态旅游服务小城镇组团、营盘-新街-龙场-顺场-花戛打造生态康养旅游小城镇组团</w:t>
      </w:r>
      <w:r>
        <w:rPr>
          <w:rFonts w:hint="eastAsia"/>
        </w:rPr>
        <w:t>。重点将比德—化乐—陡箐、都格—发耳—鸡场、玉舍—勺米</w:t>
      </w:r>
      <w:r>
        <w:t>8个小城镇建设为先进制造类小城镇；将尖山、以朵、新桥、发耳、营盘5个小（城）镇建设成为商贸物流类小（城）镇；将玉舍—海坪，北盘江沿线坪寨—都格—发耳—鸡场—营盘—新街—野钟—果布戛—龙场—顺场—花戛—猴场建成文旅康养小（城）镇；在陡箐、海坪、米箩、龙场打造具有民族文化特色的创意设计类小镇；将猴场—蟠龙—阿戛—米箩—勺米、杨梅—发耳建设为三产融合类小（城）镇</w:t>
      </w:r>
      <w:r>
        <w:rPr>
          <w:rFonts w:hint="eastAsia"/>
        </w:rPr>
        <w:t>。根据小城镇在城镇体系结构中的职能定位，基于工矿采矿区、亿元农业产业园区、北盘江生态旅游区的发展格局，优化调整不同区域小城镇职能，合理确定小城镇规模，以差异化、特色化、精品化引领村镇建设，统筹划定各小城镇开发边界，推进小城镇集约化发展，打好“后扶贫时代”攻坚战，推动现代乡村治理和乡村振兴。</w:t>
      </w:r>
    </w:p>
    <w:p>
      <w:pPr>
        <w:spacing w:after="120"/>
        <w:ind w:firstLine="640"/>
      </w:pPr>
      <w:r>
        <w:rPr>
          <w:rFonts w:hint="eastAsia"/>
        </w:rPr>
        <w:t>要以新特色新要素打造魅力小城镇，立足各乡镇的特色产业、特色文化、特色山水，打造一批多彩美丽、特色鲜明的新型现代城镇，走出一条水城特色的新型城镇化之路。推动强镇带村、以村促镇，加强以集镇和小城镇为中心的农民生活服务圈建设，增加特色小城镇建设资金投入，完善服务设施、市政管网、物流网络并向乡村延伸，吸纳更多的农民在本地就业和就近市民化。因地制宜发展特色鲜明、产城融合、充满魅力的农特旅游小镇、商贸集散小镇、文旅景观小镇、生态产业小镇、绿色工矿小镇等特色小城镇，重点打造玉舍、蟠龙、米箩、发耳、龙场、陡箐等中心乡镇，将玉舍镇打造为六盘水市民休闲、度假、康养卫星城镇。</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8</w:t>
            </w:r>
            <w:r>
              <w:rPr>
                <w:rFonts w:hint="eastAsia" w:ascii="楷体" w:hAnsi="楷体" w:eastAsia="楷体"/>
                <w:sz w:val="26"/>
                <w:szCs w:val="26"/>
              </w:rPr>
              <w:t xml:space="preserve"> 特色小城镇建设重点项目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727" w:type="dxa"/>
          </w:tcPr>
          <w:p>
            <w:pPr>
              <w:spacing w:before="60" w:line="280" w:lineRule="exact"/>
              <w:ind w:firstLine="479" w:firstLineChars="227"/>
              <w:rPr>
                <w:rFonts w:ascii="楷体_GB2312" w:eastAsia="楷体_GB2312"/>
                <w:sz w:val="21"/>
                <w:szCs w:val="21"/>
              </w:rPr>
            </w:pPr>
            <w:r>
              <w:rPr>
                <w:rFonts w:hint="eastAsia" w:ascii="楷体_GB2312" w:eastAsia="楷体_GB2312"/>
                <w:b/>
                <w:bCs/>
                <w:sz w:val="21"/>
                <w:szCs w:val="21"/>
              </w:rPr>
              <w:t>优化小城镇功能布局</w:t>
            </w:r>
          </w:p>
          <w:p>
            <w:pPr>
              <w:spacing w:before="60" w:line="280" w:lineRule="exact"/>
              <w:ind w:firstLine="420"/>
              <w:rPr>
                <w:rFonts w:ascii="楷体_GB2312" w:eastAsia="楷体_GB2312"/>
                <w:sz w:val="21"/>
                <w:szCs w:val="21"/>
              </w:rPr>
            </w:pPr>
            <w:r>
              <w:rPr>
                <w:rFonts w:hint="eastAsia" w:ascii="楷体_GB2312" w:eastAsia="楷体_GB2312"/>
                <w:sz w:val="21"/>
                <w:szCs w:val="21"/>
              </w:rPr>
              <w:t>培育国家级特色小城镇1个，省级特色小（城）镇2个，市级特色小（城）镇5个。</w:t>
            </w:r>
          </w:p>
          <w:p>
            <w:pPr>
              <w:spacing w:line="280" w:lineRule="exact"/>
              <w:ind w:firstLine="420"/>
              <w:rPr>
                <w:rFonts w:ascii="楷体_GB2312" w:eastAsia="楷体_GB2312"/>
                <w:sz w:val="21"/>
                <w:szCs w:val="21"/>
              </w:rPr>
            </w:pPr>
            <w:r>
              <w:rPr>
                <w:rFonts w:hint="eastAsia" w:ascii="楷体_GB2312" w:eastAsia="楷体_GB2312"/>
                <w:sz w:val="21"/>
                <w:szCs w:val="21"/>
              </w:rPr>
              <w:t>1.将比德—化乐—陡箐、都格—发耳—鸡场、玉舍—勺米8个小（城）镇</w:t>
            </w:r>
            <w:r>
              <w:rPr>
                <w:rFonts w:hint="eastAsia" w:ascii="楷体_GB2312" w:eastAsia="楷体_GB2312"/>
                <w:color w:val="000000" w:themeColor="text1"/>
                <w:sz w:val="21"/>
                <w:szCs w:val="21"/>
                <w14:textFill>
                  <w14:solidFill>
                    <w14:schemeClr w14:val="tx1"/>
                  </w14:solidFill>
                </w14:textFill>
              </w:rPr>
              <w:t>建设为先进制造类小（城）镇</w:t>
            </w:r>
            <w:r>
              <w:rPr>
                <w:rFonts w:hint="eastAsia" w:ascii="楷体_GB2312" w:eastAsia="楷体_GB2312"/>
                <w:sz w:val="21"/>
                <w:szCs w:val="21"/>
              </w:rPr>
              <w:t>。</w:t>
            </w:r>
          </w:p>
          <w:p>
            <w:pPr>
              <w:spacing w:line="280" w:lineRule="exact"/>
              <w:ind w:firstLine="420"/>
              <w:rPr>
                <w:rFonts w:ascii="楷体_GB2312" w:eastAsia="楷体_GB2312"/>
                <w:sz w:val="21"/>
                <w:szCs w:val="21"/>
              </w:rPr>
            </w:pPr>
            <w:r>
              <w:rPr>
                <w:rFonts w:hint="eastAsia" w:ascii="楷体_GB2312" w:eastAsia="楷体_GB2312"/>
                <w:sz w:val="21"/>
                <w:szCs w:val="21"/>
              </w:rPr>
              <w:t>2.将</w:t>
            </w:r>
            <w:r>
              <w:rPr>
                <w:rFonts w:hint="eastAsia" w:ascii="楷体_GB2312" w:eastAsia="楷体_GB2312"/>
                <w:color w:val="000000" w:themeColor="text1"/>
                <w:sz w:val="21"/>
                <w:szCs w:val="21"/>
                <w14:textFill>
                  <w14:solidFill>
                    <w14:schemeClr w14:val="tx1"/>
                  </w14:solidFill>
                </w14:textFill>
              </w:rPr>
              <w:t>尖山、以朵、新桥、</w:t>
            </w:r>
            <w:r>
              <w:rPr>
                <w:rFonts w:hint="eastAsia" w:ascii="楷体_GB2312" w:eastAsia="楷体_GB2312"/>
                <w:sz w:val="21"/>
                <w:szCs w:val="21"/>
              </w:rPr>
              <w:t>发耳、</w:t>
            </w:r>
            <w:r>
              <w:rPr>
                <w:rFonts w:hint="eastAsia" w:ascii="楷体_GB2312" w:eastAsia="楷体_GB2312"/>
                <w:color w:val="000000" w:themeColor="text1"/>
                <w:sz w:val="21"/>
                <w:szCs w:val="21"/>
                <w14:textFill>
                  <w14:solidFill>
                    <w14:schemeClr w14:val="tx1"/>
                  </w14:solidFill>
                </w14:textFill>
              </w:rPr>
              <w:t>营盘</w:t>
            </w:r>
            <w:r>
              <w:rPr>
                <w:rFonts w:hint="eastAsia" w:ascii="楷体_GB2312" w:eastAsia="楷体_GB2312"/>
                <w:sz w:val="21"/>
                <w:szCs w:val="21"/>
              </w:rPr>
              <w:t>5个小（城）镇建设成为商贸物流类</w:t>
            </w:r>
            <w:r>
              <w:rPr>
                <w:rFonts w:hint="eastAsia" w:ascii="楷体_GB2312" w:eastAsia="楷体_GB2312"/>
                <w:color w:val="000000" w:themeColor="text1"/>
                <w:sz w:val="21"/>
                <w:szCs w:val="21"/>
                <w14:textFill>
                  <w14:solidFill>
                    <w14:schemeClr w14:val="tx1"/>
                  </w14:solidFill>
                </w14:textFill>
              </w:rPr>
              <w:t>小（城）镇</w:t>
            </w:r>
            <w:r>
              <w:rPr>
                <w:rFonts w:hint="eastAsia" w:ascii="楷体_GB2312" w:eastAsia="楷体_GB2312"/>
                <w:sz w:val="21"/>
                <w:szCs w:val="21"/>
              </w:rPr>
              <w:t>。</w:t>
            </w:r>
          </w:p>
          <w:p>
            <w:pPr>
              <w:spacing w:line="280" w:lineRule="exact"/>
              <w:ind w:firstLine="420"/>
              <w:rPr>
                <w:rFonts w:ascii="楷体_GB2312" w:eastAsia="楷体_GB2312"/>
                <w:sz w:val="21"/>
                <w:szCs w:val="21"/>
              </w:rPr>
            </w:pPr>
            <w:r>
              <w:rPr>
                <w:rFonts w:hint="eastAsia" w:ascii="楷体_GB2312" w:eastAsia="楷体_GB2312"/>
                <w:sz w:val="21"/>
                <w:szCs w:val="21"/>
              </w:rPr>
              <w:t>3.将玉舍—海坪，北盘江沿线坪寨-—都格-—发耳-—鸡场-—营盘—新街—野钟—果布戛—龙场—顺场—花戛—猴场建成文旅康养小（城）镇。</w:t>
            </w:r>
          </w:p>
          <w:p>
            <w:pPr>
              <w:spacing w:line="280" w:lineRule="exact"/>
              <w:ind w:firstLine="420"/>
              <w:rPr>
                <w:rFonts w:ascii="楷体_GB2312" w:eastAsia="楷体_GB2312"/>
                <w:sz w:val="21"/>
                <w:szCs w:val="21"/>
              </w:rPr>
            </w:pPr>
            <w:r>
              <w:rPr>
                <w:rFonts w:hint="eastAsia" w:ascii="楷体_GB2312" w:eastAsia="楷体_GB2312"/>
                <w:sz w:val="21"/>
                <w:szCs w:val="21"/>
              </w:rPr>
              <w:t>4.将陡箐、海坪、米箩、龙场打造具有民族文化特色的创意设计类小（城）镇。</w:t>
            </w:r>
          </w:p>
          <w:p>
            <w:pPr>
              <w:spacing w:line="280" w:lineRule="exact"/>
              <w:ind w:firstLine="420"/>
              <w:rPr>
                <w:rFonts w:ascii="楷体_GB2312" w:eastAsia="楷体_GB2312"/>
                <w:sz w:val="21"/>
                <w:szCs w:val="21"/>
              </w:rPr>
            </w:pPr>
            <w:r>
              <w:rPr>
                <w:rFonts w:hint="eastAsia" w:ascii="楷体_GB2312" w:eastAsia="楷体_GB2312"/>
                <w:sz w:val="21"/>
                <w:szCs w:val="21"/>
              </w:rPr>
              <w:t>5.将猴场—蟠龙—阿戛—米箩—勺米、杨梅—发耳建设为三产融合类小（城）镇。</w:t>
            </w:r>
          </w:p>
          <w:p>
            <w:pPr>
              <w:spacing w:line="280" w:lineRule="exact"/>
              <w:ind w:firstLine="420"/>
              <w:rPr>
                <w:rFonts w:ascii="楷体_GB2312" w:eastAsia="楷体_GB2312"/>
                <w:sz w:val="21"/>
                <w:szCs w:val="21"/>
              </w:rPr>
            </w:pPr>
            <w:r>
              <w:rPr>
                <w:rFonts w:hint="eastAsia" w:ascii="楷体_GB2312" w:eastAsia="楷体_GB2312"/>
                <w:sz w:val="21"/>
                <w:szCs w:val="21"/>
              </w:rPr>
              <w:t>6.将</w:t>
            </w:r>
            <w:r>
              <w:rPr>
                <w:rFonts w:hint="eastAsia" w:ascii="楷体_GB2312" w:eastAsia="楷体_GB2312" w:cs="仿宋_GB2312"/>
                <w:color w:val="000000" w:themeColor="text1"/>
                <w:sz w:val="21"/>
                <w:szCs w:val="21"/>
                <w14:textFill>
                  <w14:solidFill>
                    <w14:schemeClr w14:val="tx1"/>
                  </w14:solidFill>
                </w14:textFill>
              </w:rPr>
              <w:t>野玉海</w:t>
            </w:r>
            <w:r>
              <w:rPr>
                <w:rFonts w:hint="eastAsia" w:ascii="楷体_GB2312" w:eastAsia="楷体_GB2312"/>
                <w:sz w:val="21"/>
                <w:szCs w:val="21"/>
              </w:rPr>
              <w:t>、海坪街道、营盘打造成体育运动类小（城）镇。</w:t>
            </w:r>
          </w:p>
          <w:p>
            <w:pPr>
              <w:pStyle w:val="2"/>
              <w:spacing w:line="280" w:lineRule="exact"/>
              <w:ind w:firstLine="420" w:firstLineChars="200"/>
              <w:rPr>
                <w:rFonts w:eastAsiaTheme="minorEastAsia"/>
              </w:rPr>
            </w:pPr>
            <w:r>
              <w:rPr>
                <w:rFonts w:hint="eastAsia" w:ascii="楷体_GB2312" w:hAnsi="仿宋_GB2312" w:eastAsia="楷体_GB2312" w:cs="仿宋_GB2312"/>
                <w:color w:val="000000" w:themeColor="text1"/>
                <w:kern w:val="2"/>
                <w14:textFill>
                  <w14:solidFill>
                    <w14:schemeClr w14:val="tx1"/>
                  </w14:solidFill>
                </w14:textFill>
              </w:rPr>
              <w:t>7.将水城经开区打造成数字经济类小</w:t>
            </w:r>
            <w:r>
              <w:rPr>
                <w:rFonts w:hint="eastAsia" w:ascii="楷体_GB2312" w:hAnsi="仿宋_GB2312" w:eastAsia="楷体_GB2312" w:cs="Times New Roman"/>
                <w:kern w:val="2"/>
              </w:rPr>
              <w:t>（城）镇</w:t>
            </w:r>
            <w:r>
              <w:rPr>
                <w:rFonts w:hint="eastAsia" w:ascii="楷体_GB2312" w:hAnsi="仿宋_GB2312" w:eastAsia="楷体_GB2312" w:cs="仿宋_GB2312"/>
                <w:color w:val="000000" w:themeColor="text1"/>
                <w:kern w:val="2"/>
                <w14:textFill>
                  <w14:solidFill>
                    <w14:schemeClr w14:val="tx1"/>
                  </w14:solidFill>
                </w14:textFill>
              </w:rPr>
              <w:t>。</w:t>
            </w:r>
          </w:p>
        </w:tc>
      </w:tr>
    </w:tbl>
    <w:p>
      <w:pPr>
        <w:pStyle w:val="6"/>
        <w:spacing w:before="222"/>
      </w:pPr>
      <w:bookmarkStart w:id="29" w:name="_Toc63250057"/>
      <w:r>
        <w:rPr>
          <w:rFonts w:hint="eastAsia"/>
        </w:rPr>
        <w:t>第十章 提升城镇综合承载力</w:t>
      </w:r>
      <w:bookmarkEnd w:id="29"/>
    </w:p>
    <w:p>
      <w:pPr>
        <w:ind w:firstLine="640"/>
      </w:pPr>
      <w:r>
        <w:rPr>
          <w:rFonts w:hint="eastAsia"/>
        </w:rPr>
        <w:t>着力发展城镇经济，强化城镇产业支撑，大力提升城镇基础设施、居住、基本公共服务、生态环境和社会治理品质，持续增强城镇人口承载力和发展竞争力。</w:t>
      </w:r>
    </w:p>
    <w:p>
      <w:pPr>
        <w:ind w:firstLine="0" w:firstLineChars="0"/>
        <w:jc w:val="center"/>
        <w:rPr>
          <w:b/>
          <w:bCs/>
        </w:rPr>
      </w:pPr>
      <w:r>
        <w:rPr>
          <w:rFonts w:hint="eastAsia"/>
          <w:b/>
          <w:bCs/>
        </w:rPr>
        <w:t>第一节 做大做强城镇经济</w:t>
      </w:r>
    </w:p>
    <w:p>
      <w:pPr>
        <w:spacing w:line="520" w:lineRule="exact"/>
        <w:ind w:firstLine="640"/>
      </w:pPr>
      <w:r>
        <w:rPr>
          <w:rFonts w:hint="eastAsia"/>
        </w:rPr>
        <w:t>推进产城融合发展,坚持以城聚产、以产兴城、产城融合，促进要素资源向城镇集聚。大力发展城镇工业经济、服务经济、消费经济，大力推动城镇现代物流业、文化旅游产业和健康养老产业发展，增强城镇人口承载力、内需带动力、发展竞争力。提升城镇消费品质，创新城镇消费模式，优化城镇消费环境。有效增加保障性住房供给，促进房地产市场健康发展。加快城镇服务功能完善配套，把城镇建设成为乡村服务中心。发挥产业园区在城镇经济发展中的重要载体作用，促进园区和城镇融合发展，推动城镇工业向园区集聚。</w:t>
      </w:r>
    </w:p>
    <w:p>
      <w:pPr>
        <w:ind w:firstLine="0" w:firstLineChars="0"/>
        <w:jc w:val="center"/>
        <w:rPr>
          <w:b/>
          <w:bCs/>
        </w:rPr>
      </w:pPr>
      <w:r>
        <w:rPr>
          <w:rFonts w:hint="eastAsia"/>
          <w:b/>
          <w:bCs/>
        </w:rPr>
        <w:t>第二节 全面提升城镇品质</w:t>
      </w:r>
    </w:p>
    <w:p>
      <w:pPr>
        <w:spacing w:line="520" w:lineRule="exact"/>
        <w:ind w:firstLine="640"/>
      </w:pPr>
      <w:r>
        <w:rPr>
          <w:rFonts w:hint="eastAsia"/>
        </w:rPr>
        <w:t>以巩固提升全国文明城市为契机，大力实施城镇化补短板强弱项工程，深入实施“宜居水城”建设行动，围绕公共服务设施提标扩面、环境卫生设施提级扩能、市政公用设施提档升级、产业培育设施提质增效推进以人民为中心的新型城镇化建设。</w:t>
      </w:r>
    </w:p>
    <w:p>
      <w:pPr>
        <w:spacing w:line="520" w:lineRule="exact"/>
        <w:ind w:firstLine="640"/>
      </w:pPr>
      <w:r>
        <w:rPr>
          <w:rFonts w:hint="eastAsia"/>
        </w:rPr>
        <w:t>加强环城林带、城市绿地和湿地公园建设，强化城市大气、水等污染防治，创建“美丽城市”和“城市体检”试点。重点对双水河进行综合治理和改造提升，打造成为市民休闲娱乐、康体养生的水生态文化长廊。加强古村落、古建筑的保护和利用，加大工业遗产保护，强化城市生态修复，推动“工业锈带”变“城市秀带”。</w:t>
      </w:r>
    </w:p>
    <w:p>
      <w:pPr>
        <w:spacing w:line="520" w:lineRule="exact"/>
        <w:ind w:firstLine="640"/>
      </w:pPr>
      <w:r>
        <w:rPr>
          <w:rFonts w:hint="eastAsia"/>
        </w:rPr>
        <w:t>大力实施城市更新行动，加快推进城镇老旧小区改造和社区建设。加大乡镇农贸市场建设力度，彻底解决贸易市场与道路不分的问题。一体推进双水片区、水城经开区和六盘水高新区主次路网建设，全力打通中心城区断头路，统筹做好三片区市政道路提升改造工程。推进海绵城市、韧性城市、排水防涝、地下综合管廊等建设。加强城镇供水供电供气设施建设，积极推进水城区中心城区城市集中供热和城市燃气项目建设，新建商用住房全部实现集中供热。进一步完善城市通信、消防、抗震、防空防灾、仓储等功能性市政基础设施建设。</w:t>
      </w:r>
    </w:p>
    <w:p>
      <w:pPr>
        <w:spacing w:line="520" w:lineRule="exact"/>
        <w:ind w:firstLine="640"/>
      </w:pPr>
      <w:r>
        <w:rPr>
          <w:rFonts w:hint="eastAsia"/>
        </w:rPr>
        <w:t>大力发展城市公交，完善城市公交系统，统筹布局连接双水及周边乡镇的公交线路，合理设置公共汽车线路及公交站台，提升公共交通智能化水平，利用物联网、大数据以及人工智能等技术，建设城市智慧公路，</w:t>
      </w:r>
      <w:r>
        <w:t>让公共交通成为群众出行的主要交通方式。</w:t>
      </w:r>
      <w:r>
        <w:rPr>
          <w:rFonts w:hint="eastAsia"/>
        </w:rPr>
        <w:t>新建一批集约、高效、智能的城市停车场，鼓励结合广场、学校操场、公共汽车枢纽站等公共设施建设地下公共停车场。规划建设慢行交通、无障碍和适老化设施。</w:t>
      </w:r>
    </w:p>
    <w:p>
      <w:pPr>
        <w:ind w:firstLine="0" w:firstLineChars="0"/>
        <w:jc w:val="center"/>
        <w:rPr>
          <w:b/>
          <w:bCs/>
        </w:rPr>
      </w:pPr>
      <w:r>
        <w:rPr>
          <w:rFonts w:hint="eastAsia"/>
          <w:b/>
          <w:bCs/>
        </w:rPr>
        <w:t>第三节 提高城镇治理水平</w:t>
      </w:r>
    </w:p>
    <w:p>
      <w:pPr>
        <w:spacing w:line="520" w:lineRule="exact"/>
        <w:ind w:firstLine="640"/>
      </w:pPr>
      <w:r>
        <w:rPr>
          <w:rFonts w:hint="eastAsia"/>
        </w:rPr>
        <w:t>立足城镇化发展趋势，切实提升城镇治理能力，推进城镇治理机制创新，完善城镇治理体系建设。提高城镇规划建设和管理水平，完善征地拆迁补偿机制，依法治理违章建筑。坚持“人民城市人民建，人民城市为人民”，深入推进城市管理执法体制改革，加快构建扁平化管理机制，健全公众参与机制，完善城市公共决策社会公示、公众听证和专家咨询论证制度。加强大数据在城镇管理中的应用，实施城镇精细化管理示范工程，提升智能化、精细化、精准化管理水平。建立健全网格化管理机制，促进管理中心下移前移，增强社区管理服务功能，社区网格化管理覆盖率达到1</w:t>
      </w:r>
      <w:r>
        <w:t>00</w:t>
      </w:r>
      <w:r>
        <w:rPr>
          <w:rFonts w:hint="eastAsia"/>
        </w:rPr>
        <w:t>%。创新城镇治理方式，推进城市智慧管理系统建设和智慧化改造，突出数字化、智慧化管理，不断提升城市智能化管理水平，完善城市功能，推动生活智能化，共同缔造城市美好幸福的生活环境。</w:t>
      </w:r>
    </w:p>
    <w:p>
      <w:pPr>
        <w:ind w:firstLine="0" w:firstLineChars="0"/>
        <w:jc w:val="center"/>
        <w:rPr>
          <w:b/>
          <w:bCs/>
        </w:rPr>
      </w:pPr>
      <w:r>
        <w:rPr>
          <w:rFonts w:hint="eastAsia"/>
          <w:b/>
          <w:bCs/>
        </w:rPr>
        <w:t xml:space="preserve">第四节 </w:t>
      </w:r>
      <w:r>
        <w:rPr>
          <w:b/>
          <w:bCs/>
        </w:rPr>
        <w:t>加快提升区域竞争力</w:t>
      </w:r>
    </w:p>
    <w:p>
      <w:pPr>
        <w:spacing w:after="120" w:line="520" w:lineRule="exact"/>
        <w:ind w:firstLine="640"/>
      </w:pPr>
      <w:r>
        <w:rPr>
          <w:rFonts w:hint="eastAsia"/>
        </w:rPr>
        <w:t>加快以县城为重要载体的新型城镇化建设，加强区域协同发展，促进城乡融合发展。以“钟山—水城—高新区”三地同城化发展为牵引，构建空间优化布局、基础设施联通、产业融合发展、城镇功能互补的同城化发展格局，提升双水城区首位度，做大做强中心城区，形成与钟山区的分工与协作，统筹推进交通、信息、产业、生态、公共服务等同城化发展，大力增强城区核心竞争力和辐射带动作用。加快建设完善一批具有区域影响力的优质医疗、教育机构。全力打造农产品批发、能矿资源和能矿设备交易等大型综合商贸集散中心，强化商品集散、信息发布、物流配送等功能，吸引周边地区人口向城区集聚。促进商旅融合发展，推动消费升级。加快推进与周边省市县区的交往与合作，积极融入城镇带和经济圈，促进要素自由流动、资源优化配置。</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9</w:t>
            </w:r>
            <w:r>
              <w:rPr>
                <w:rFonts w:hint="eastAsia" w:ascii="楷体" w:hAnsi="楷体" w:eastAsia="楷体"/>
                <w:sz w:val="26"/>
                <w:szCs w:val="26"/>
              </w:rPr>
              <w:t xml:space="preserve"> 提升城市综合承载能力重点项目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57" w:firstLineChars="27"/>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城镇路网优化提升工程</w:t>
            </w:r>
          </w:p>
          <w:p>
            <w:pPr>
              <w:spacing w:before="60" w:line="280" w:lineRule="exact"/>
              <w:ind w:firstLine="420"/>
              <w:rPr>
                <w:rFonts w:ascii="楷体" w:hAnsi="楷体" w:eastAsia="楷体"/>
                <w:sz w:val="26"/>
                <w:szCs w:val="26"/>
              </w:rPr>
            </w:pPr>
            <w:r>
              <w:rPr>
                <w:rFonts w:hint="eastAsia" w:ascii="楷体_GB2312" w:eastAsia="楷体_GB2312"/>
                <w:sz w:val="21"/>
                <w:szCs w:val="21"/>
              </w:rPr>
              <w:t>建成乌蒙大道建设项目、红桥东路二期建设项目、双水—六盘水高铁东站—水城经开区城市主干道建设项目、六盘水高铁东站接双水城区城市主干道、六盘水东城区外环路、水城经开区园区新城道路、大董路二期工程（东北环线段）建设项目、水城经开区化工路二期建设项目、水城经开区高新路。开工建设</w:t>
            </w:r>
            <w:r>
              <w:rPr>
                <w:rFonts w:hint="eastAsia" w:ascii="楷体_GB2312" w:eastAsia="楷体_GB2312"/>
                <w:color w:val="000000" w:themeColor="text1"/>
                <w:sz w:val="21"/>
                <w:szCs w:val="21"/>
                <w14:textFill>
                  <w14:solidFill>
                    <w14:schemeClr w14:val="tx1"/>
                  </w14:solidFill>
                </w14:textFill>
              </w:rPr>
              <w:t>艾兰酒店至水城经开区城市大道</w:t>
            </w:r>
            <w:r>
              <w:rPr>
                <w:rFonts w:hint="eastAsia" w:ascii="楷体_GB2312" w:eastAsia="楷体_GB2312"/>
                <w:sz w:val="21"/>
                <w:szCs w:val="21"/>
              </w:rPr>
              <w:t>、水城老鹰山片区绕城快线、市中心城区至野玉海快速公路、塔山南路等项目；推进双水片区钟山大道、凉都大道、人民路东段、水城大道城市道路提升改造建设项目、六盘水东城区综合管廊建设项目。研究推进双水大广场至政务服务大厅地下通道项目、高速东站至双水大广场地下通道项目、高铁东站至市中心城区至野玉海城市轨道交通项目；建成城镇停车位5000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城镇供水安全保障工程</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重点实施六盘水东城区供水管网提升改造建设项目（含城市水厂2座）。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城镇供气供热工程</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重点实施双水城区城市集中供热工程、六盘水东城区城市供气管网工程建设、重点乡镇燃气管网及加气站建设。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城镇污水垃圾处理工程</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重点实施六盘水东城区排污管网提升改造、水城经开区城市入户排污管网建设、水城经开区工业污水处理厂建设、水城区城乡污水处理一体化项目建设、</w:t>
            </w:r>
            <w:r>
              <w:rPr>
                <w:rFonts w:hint="eastAsia" w:ascii="楷体_GB2312" w:eastAsia="楷体_GB2312"/>
                <w:color w:val="000000" w:themeColor="text1"/>
                <w:sz w:val="21"/>
                <w:szCs w:val="21"/>
                <w14:textFill>
                  <w14:solidFill>
                    <w14:schemeClr w14:val="tx1"/>
                  </w14:solidFill>
                </w14:textFill>
              </w:rPr>
              <w:t>城乡垃圾收集及处理设施提升改造项目。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80" w:lineRule="exact"/>
              <w:ind w:firstLine="57" w:firstLineChars="27"/>
              <w:rPr>
                <w:rFonts w:ascii="楷体_GB2312" w:eastAsia="楷体_GB2312"/>
                <w:color w:val="000000" w:themeColor="text1"/>
                <w:sz w:val="21"/>
                <w:szCs w:val="21"/>
                <w14:textFill>
                  <w14:solidFill>
                    <w14:schemeClr w14:val="tx1"/>
                  </w14:solidFill>
                </w14:textFill>
              </w:rPr>
            </w:pPr>
            <w:r>
              <w:rPr>
                <w:rFonts w:hint="eastAsia" w:ascii="楷体_GB2312" w:eastAsia="楷体_GB2312"/>
                <w:b/>
                <w:bCs/>
                <w:color w:val="000000" w:themeColor="text1"/>
                <w:sz w:val="21"/>
                <w:szCs w:val="21"/>
                <w14:textFill>
                  <w14:solidFill>
                    <w14:schemeClr w14:val="tx1"/>
                  </w14:solidFill>
                </w14:textFill>
              </w:rPr>
              <w:t>0</w:t>
            </w:r>
            <w:r>
              <w:rPr>
                <w:rFonts w:ascii="楷体_GB2312" w:eastAsia="楷体_GB2312"/>
                <w:b/>
                <w:bCs/>
                <w:color w:val="000000" w:themeColor="text1"/>
                <w:sz w:val="21"/>
                <w:szCs w:val="21"/>
                <w14:textFill>
                  <w14:solidFill>
                    <w14:schemeClr w14:val="tx1"/>
                  </w14:solidFill>
                </w14:textFill>
              </w:rPr>
              <w:t xml:space="preserve">5 </w:t>
            </w:r>
            <w:r>
              <w:rPr>
                <w:rFonts w:hint="eastAsia" w:ascii="楷体_GB2312" w:eastAsia="楷体_GB2312"/>
                <w:b/>
                <w:bCs/>
                <w:color w:val="000000" w:themeColor="text1"/>
                <w:sz w:val="21"/>
                <w:szCs w:val="21"/>
                <w14:textFill>
                  <w14:solidFill>
                    <w14:schemeClr w14:val="tx1"/>
                  </w14:solidFill>
                </w14:textFill>
              </w:rPr>
              <w:t>房地产及住房保障工程</w:t>
            </w:r>
          </w:p>
          <w:p>
            <w:pPr>
              <w:spacing w:line="280" w:lineRule="exact"/>
              <w:ind w:firstLine="420"/>
              <w:rPr>
                <w:rFonts w:ascii="楷体_GB2312" w:eastAsia="楷体_GB2312"/>
                <w:b/>
                <w:bCs/>
                <w:sz w:val="21"/>
                <w:szCs w:val="21"/>
              </w:rPr>
            </w:pPr>
            <w:r>
              <w:rPr>
                <w:rFonts w:hint="eastAsia" w:ascii="楷体_GB2312" w:eastAsia="楷体_GB2312"/>
                <w:sz w:val="21"/>
                <w:szCs w:val="21"/>
              </w:rPr>
              <w:t>建成塔山棚户区、朝阳棚户区、尖山棚户区、老鹰山棚户区、文阁棚户区；启动实施老鹰山矿小区、老鹰山老旧小区、老鹰山矿公房小区、尖山街道观音山小区、观音山矿小区、尖山街道仁活洞杉树林铅锌矿小区、尖山街道观音山矿回字房小区、尖山街道仁活洞居委仁活小区等9个老旧小区改造建设项目；重点推进水城塔山片区、水城朝阳片区、水城小山片区、织金街片区、明硐东兴街片区、水城黄家桥社区、老鹰山街道陆家坝片区、木桥片区、中坡片区、尖山街道滥坝片区、茨冲片区、杉树林仁活洞片区、水城观音山片区、水城小河铁厂片区、水城经开区老旧小区改造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27" w:type="dxa"/>
          </w:tcPr>
          <w:p>
            <w:pPr>
              <w:spacing w:line="280" w:lineRule="exact"/>
              <w:ind w:firstLine="57" w:firstLineChars="27"/>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城镇生态环境提升工程</w:t>
            </w:r>
          </w:p>
          <w:p>
            <w:pPr>
              <w:spacing w:line="280" w:lineRule="exact"/>
              <w:ind w:firstLine="420"/>
              <w:rPr>
                <w:sz w:val="28"/>
                <w:szCs w:val="28"/>
              </w:rPr>
            </w:pPr>
            <w:r>
              <w:rPr>
                <w:rFonts w:hint="eastAsia" w:ascii="楷体_GB2312" w:eastAsia="楷体_GB2312"/>
                <w:sz w:val="21"/>
                <w:szCs w:val="21"/>
              </w:rPr>
              <w:t>重点实施明硐湖湿地公园、水城经开区堰湖流域治理公园、塔山城市公园；推进两江公园、以朵城市森林公园提质改造；推进以朵—两江公园—市八中—区人民医院—双水人工湖—市一中—金竹林—水城河生态商业廊道建设项目，两江公园山体—明硐湖—双水南园河—人工湖生态休闲廊道建设项目；建成城镇20座以上生态公共厕所；启动实施双水城区海绵城市建设工程。</w:t>
            </w:r>
          </w:p>
        </w:tc>
      </w:tr>
    </w:tbl>
    <w:p>
      <w:pPr>
        <w:pStyle w:val="6"/>
        <w:spacing w:before="222"/>
      </w:pPr>
      <w:bookmarkStart w:id="30" w:name="_Toc63250058"/>
      <w:r>
        <w:rPr>
          <w:rFonts w:hint="eastAsia"/>
        </w:rPr>
        <w:t>第十一章 统筹推进城乡融合发展</w:t>
      </w:r>
      <w:bookmarkEnd w:id="30"/>
    </w:p>
    <w:p>
      <w:pPr>
        <w:ind w:firstLine="640"/>
      </w:pPr>
      <w:r>
        <w:rPr>
          <w:rFonts w:hint="eastAsia"/>
        </w:rPr>
        <w:t>建立健全城乡融合发展的体制机制和政策体系。加快推进城乡规划建设一体化、基础设施联通化、要素配置合理化、产业发展融合化、公共服务均等化、居民收入均衡化，形成工农互促、城乡互补、全面融合、共同繁荣的新型城乡发展格局。</w:t>
      </w:r>
    </w:p>
    <w:p>
      <w:pPr>
        <w:spacing w:line="570" w:lineRule="exact"/>
        <w:ind w:firstLine="0" w:firstLineChars="0"/>
        <w:jc w:val="center"/>
        <w:rPr>
          <w:b/>
          <w:bCs/>
        </w:rPr>
      </w:pPr>
      <w:r>
        <w:rPr>
          <w:rFonts w:hint="eastAsia"/>
          <w:b/>
          <w:bCs/>
        </w:rPr>
        <w:t>第一节 推进城乡资源要素合理配置</w:t>
      </w:r>
    </w:p>
    <w:p>
      <w:pPr>
        <w:ind w:firstLine="640"/>
      </w:pPr>
      <w:r>
        <w:rPr>
          <w:rFonts w:hint="eastAsia"/>
        </w:rPr>
        <w:t>引导社会资本和金融资本下乡，完善乡村金融服务体系，依法合规开展农村集体经营性建设用地使用权、农民房屋财产权、集体林权抵押融资，以及承包地经营权、集体资产股权等担保融资。加快农业科技成果转化平台建设，推动建立农业科技成果入乡转化机制，允许农技人员通过提供增值服务收取合理报酬。推动人才、资本、技术下乡，加快农业现代化进程，带动城市资源和要素向农村流动，推进城市教科文卫体等工作人员定期服务乡村，推动职称评定、工资待遇等向乡村教师、医生倾斜。加大对乡镇人、财、物的投入，壮大农村开发经营主体，稳步推进乡村经济科学发展，增添城乡融合发展新动力。支持农户将土地经营权入股从事农业产业化经营，鼓励农村集体经济组织及其成员盘活利用闲置宅基地和闲置房屋，审慎稳妥推进农村集体经营性建设用地入市。</w:t>
      </w:r>
    </w:p>
    <w:p>
      <w:pPr>
        <w:spacing w:line="570" w:lineRule="exact"/>
        <w:ind w:firstLine="0" w:firstLineChars="0"/>
        <w:jc w:val="center"/>
        <w:rPr>
          <w:b/>
          <w:bCs/>
        </w:rPr>
      </w:pPr>
      <w:r>
        <w:rPr>
          <w:rFonts w:hint="eastAsia"/>
          <w:b/>
          <w:bCs/>
        </w:rPr>
        <w:t>第二节 推进城乡基本公共服务均等化</w:t>
      </w:r>
    </w:p>
    <w:p>
      <w:pPr>
        <w:ind w:firstLine="640"/>
      </w:pPr>
      <w:r>
        <w:rPr>
          <w:rFonts w:hint="eastAsia"/>
        </w:rPr>
        <w:t>加快农村基础建设和城乡均衡发展，推动城乡基础设施统一规划、统一建设、统一管护，完善多元化市场化投入机制，加快市政供水供气供热向城郊村延伸，推进城乡污水垃圾收集处理、教育医疗、农贸市场一体化建设改造和道路客运一体化发展。立足于六盘水市中心城区的区位优势，完善城区综合服务功能，加强城区公共服务对全区的辐射能力和服务能力。通过稳步提高待遇等措施增强乡村岗位吸引力。分步推进老旧小区、老旧厂区、老旧街区和城中村改造，特别是城中村、老旧小区的地下管网及屋面立面的美化亮化。</w:t>
      </w:r>
    </w:p>
    <w:p>
      <w:pPr>
        <w:spacing w:line="570" w:lineRule="exact"/>
        <w:ind w:firstLine="0" w:firstLineChars="0"/>
        <w:jc w:val="center"/>
        <w:rPr>
          <w:b/>
          <w:bCs/>
        </w:rPr>
      </w:pPr>
      <w:r>
        <w:rPr>
          <w:rFonts w:hint="eastAsia"/>
          <w:b/>
          <w:bCs/>
        </w:rPr>
        <w:t>第三节 推进城乡基础设施一体化</w:t>
      </w:r>
    </w:p>
    <w:p>
      <w:pPr>
        <w:ind w:firstLine="640"/>
      </w:pPr>
      <w:r>
        <w:rPr>
          <w:rFonts w:hint="eastAsia"/>
        </w:rPr>
        <w:t>要加强区域性基础设施建设，建立完善的交通体系，突出乡村公路、城区与乡镇公路的维修保养。城区通往各集镇的公交线路全部投入运营，形成便捷的交通网络。要以统筹城市基础设施和各种公用设施的建设，增强城镇运行的包容性、协调性和安全性，进一步提升城镇综合承载能力。要加强城镇地下管网布设和地下空间开发利用的统筹管理，改变各类管线各自建设、反复开挖的状况。要加强城镇供水、节水、排水、污水处理、污水再生利用设施建设和运营的统一管理和综合协调，提高水资源利用效率，保证城镇供水安全。要重视城镇综合防灾工作，加强抗震防灾规划编制，严格遵守国家抗震设防规定，城镇建筑物、构筑物选址要避开地质灾害区，充分预留人口安全疏散空间，相应提高学校、医院等公共设施的抗震防护标准。</w:t>
      </w:r>
    </w:p>
    <w:p>
      <w:pPr>
        <w:spacing w:line="570" w:lineRule="exact"/>
        <w:ind w:firstLine="0" w:firstLineChars="0"/>
        <w:jc w:val="center"/>
      </w:pPr>
      <w:r>
        <w:rPr>
          <w:rFonts w:hint="eastAsia"/>
          <w:b/>
          <w:bCs/>
        </w:rPr>
        <w:t>第四节 推进易地扶贫搬迁与新型城镇化融合发展</w:t>
      </w:r>
    </w:p>
    <w:p>
      <w:pPr>
        <w:ind w:firstLine="640"/>
      </w:pPr>
      <w:r>
        <w:rPr>
          <w:rFonts w:hint="eastAsia"/>
        </w:rPr>
        <w:t>持续加大易地扶贫搬迁后续扶持政策支持和工作力度，深化“五个体系”建设，确保政策不松劲、力量不减弱、工作不断档。全面做好就业产业、社区管理、公共服务等重点工作，精准管理，分类施策，高质量推进全省易地扶贫搬迁后续扶持工作，确保搬迁群众到</w:t>
      </w:r>
      <w:r>
        <w:t>2025年在安置地稳定融入，实现可持续发展，到2035年完全融入。</w:t>
      </w:r>
    </w:p>
    <w:p>
      <w:pPr>
        <w:ind w:firstLine="640"/>
      </w:pPr>
      <w:r>
        <w:rPr>
          <w:rFonts w:hint="eastAsia"/>
        </w:rPr>
        <w:t>支持搬迁安置区配套产业发展。根据安置区资源禀赋，紧扣市场需求，大力支持设施农业建设和以特色种养业为主的高效农业发展。积极支持规划建设特色产业园区（农业产业园区、农产品加工园区、物流园区、返乡创业园区等），吸引可带动当地特色种养业发展的优质企业入园经营，支持农民专业合作社扩大种养殖规模，支持农产品初加工和精深加工，推动一二三产业融合发展、支持发展劳动密集型产业，扶持企业发展扶贫车间，吸纳搬迁群众就地就近就业。充分挖掘乡村资源价值、支持与“三农”密切相关的乡村旅游、文化体验、健康养生、特色手工业等现代新型业态在安置区落地。从</w:t>
      </w:r>
      <w:r>
        <w:t>2021年起，财政专项扶贫资金原则上重点向安置区配套产业发展倾斜。</w:t>
      </w:r>
    </w:p>
    <w:p>
      <w:pPr>
        <w:ind w:firstLine="640"/>
      </w:pPr>
      <w:r>
        <w:rPr>
          <w:rFonts w:hint="eastAsia"/>
        </w:rPr>
        <w:t>支持开展消费扶贫促进安置区农产品产销对接。支持批发市场、电商企业、大型超市等市场主体与安置区建立长期稳定的产销关系，完善安置区物流配送体系，支持特色优势农产品生产基地冷链设施建设，打通安置区特色产品供应链条。支持有影响力的龙头企业向安置区延伸经营网络，在安置区建设加工原材料和商业服务网点。探索支持安置区发展农村新型流通业务，积极拓展外部市场，支持企业以及其他经营主体开展农商互联、农超对接、农批对接，实现农产品、市场、商家、消费者的无缝对接。</w:t>
      </w:r>
    </w:p>
    <w:p>
      <w:pPr>
        <w:ind w:firstLine="640"/>
      </w:pPr>
      <w:r>
        <w:rPr>
          <w:rFonts w:hint="eastAsia"/>
        </w:rPr>
        <w:t>支持安置区配套基础设施和公共服务设施提升完善。结合地方实际需求，因地制宜，统筹考虑安置区规模、周边设施情况、现有人口年龄结构特点和今后一个时期人口流量流向等因素，重点支持安置区水、电、气、暖、污水管网等配套基础设施提升完善。综合考虑服务半径、地理条件等因素，合理支持学校、医院、公共文化、公租房等安置区配套公共服务设施提升完善，着力改善安置区基础教育办学条件，推进安置区公共卫生和防疫设施建设。大力支持以培训贫困搬迁群众就业为导向的职业院校、职业技术教育实训基地的新建、扩建、改造，促进完善培训和就业服务体系。</w:t>
      </w:r>
    </w:p>
    <w:p>
      <w:pPr>
        <w:spacing w:line="570" w:lineRule="exact"/>
        <w:ind w:firstLine="0" w:firstLineChars="0"/>
        <w:jc w:val="center"/>
        <w:rPr>
          <w:b/>
          <w:bCs/>
        </w:rPr>
      </w:pPr>
      <w:r>
        <w:rPr>
          <w:rFonts w:hint="eastAsia"/>
          <w:b/>
          <w:bCs/>
        </w:rPr>
        <w:t>第五节 促进农业转移人口市民化</w:t>
      </w:r>
    </w:p>
    <w:p>
      <w:pPr>
        <w:spacing w:after="60"/>
        <w:ind w:firstLine="640"/>
      </w:pPr>
      <w:r>
        <w:rPr>
          <w:rFonts w:hint="eastAsia"/>
        </w:rPr>
        <w:t>深化户籍制度改革，健全农业转移人口市民化机制，促进农业转移人口全面融入城镇。简化户籍迁移手续，加强落户政策宣传，开通线上申请审核系统，提高落户便利性，推动在城镇稳定就业的农民工及其随迁家属在城镇应落尽落。完善居住证制度，健全以居住证为主要依据的农业转移人口公共服务同等待遇政策。加快完善促进农业转移人口市民化的公共服务政策，切实落实进城落户农民工随迁子女以公办学校</w:t>
      </w:r>
      <w:r>
        <w:t>(幼儿园)为主的入学(园)政策，落实随迁子女在流入地参加升学考试和接受中等职业教育免学费政策。</w:t>
      </w:r>
      <w:r>
        <w:rPr>
          <w:rFonts w:hint="eastAsia"/>
        </w:rPr>
        <w:t>切实解决好农业转移人口住房问题，扩大公租房覆盖范围，加快推进农业转移人口基本养老保险和基本医疗保险跨制度、跨地区转移接续。</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10</w:t>
            </w:r>
            <w:r>
              <w:rPr>
                <w:rFonts w:hint="eastAsia" w:ascii="楷体" w:hAnsi="楷体" w:eastAsia="楷体"/>
                <w:sz w:val="26"/>
                <w:szCs w:val="26"/>
              </w:rPr>
              <w:t xml:space="preserve"> 城乡融合发展重点项目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before="60" w:line="280" w:lineRule="exact"/>
              <w:ind w:firstLine="21" w:firstLineChars="1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巩固提升农村基础配施设施工程</w:t>
            </w:r>
          </w:p>
          <w:p>
            <w:pPr>
              <w:spacing w:line="280" w:lineRule="exact"/>
              <w:ind w:firstLine="420"/>
              <w:rPr>
                <w:rFonts w:ascii="楷体" w:hAnsi="楷体" w:eastAsia="楷体"/>
                <w:sz w:val="26"/>
                <w:szCs w:val="26"/>
              </w:rPr>
            </w:pPr>
            <w:r>
              <w:rPr>
                <w:rFonts w:hint="eastAsia" w:ascii="楷体_GB2312" w:eastAsia="楷体_GB2312"/>
                <w:sz w:val="21"/>
                <w:szCs w:val="21"/>
              </w:rPr>
              <w:t>推进农村生活污水处理项目；继续推进城乡垃圾收运处置一体化项目。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835" w:type="dxa"/>
          </w:tcPr>
          <w:p>
            <w:pPr>
              <w:spacing w:before="60" w:line="280" w:lineRule="exact"/>
              <w:ind w:firstLine="21" w:firstLineChars="1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提升村庄建设品质工程</w:t>
            </w:r>
          </w:p>
          <w:p>
            <w:pPr>
              <w:spacing w:line="280" w:lineRule="exact"/>
              <w:ind w:firstLine="420"/>
              <w:rPr>
                <w:sz w:val="28"/>
                <w:szCs w:val="28"/>
              </w:rPr>
            </w:pPr>
            <w:r>
              <w:rPr>
                <w:rFonts w:hint="eastAsia" w:ascii="楷体_GB2312" w:eastAsia="楷体_GB2312"/>
                <w:sz w:val="21"/>
                <w:szCs w:val="21"/>
              </w:rPr>
              <w:t>继续推进花戛乡天门村传统古村落保护发展建设，申报猴场乡格支村传统村落项目。打造发展20个以上特色村寨示范项目。</w:t>
            </w:r>
          </w:p>
        </w:tc>
      </w:tr>
    </w:tbl>
    <w:p>
      <w:pPr>
        <w:ind w:firstLine="640"/>
      </w:pPr>
    </w:p>
    <w:p>
      <w:pPr>
        <w:pStyle w:val="5"/>
      </w:pPr>
      <w:r>
        <w:br w:type="page"/>
      </w:r>
    </w:p>
    <w:p>
      <w:pPr>
        <w:pStyle w:val="5"/>
      </w:pPr>
      <w:bookmarkStart w:id="31" w:name="_Toc63250059"/>
      <w:r>
        <w:rPr>
          <w:rFonts w:hint="eastAsia"/>
        </w:rPr>
        <w:t>第五篇 深入实施农业现代化，高质量推进乡村全面振兴发展</w:t>
      </w:r>
      <w:bookmarkEnd w:id="31"/>
    </w:p>
    <w:p>
      <w:pPr>
        <w:ind w:firstLine="640"/>
      </w:pPr>
      <w:r>
        <w:rPr>
          <w:rFonts w:hint="eastAsia"/>
        </w:rPr>
        <w:t>把乡村振兴作为新时代“三农”工作总抓手，坚持把巩固拓展脱贫攻坚成果、接续推进乡</w:t>
      </w:r>
      <w:r>
        <w:t>村振兴作为高质量发展的重大任务，</w:t>
      </w:r>
      <w:r>
        <w:rPr>
          <w:rFonts w:hint="eastAsia"/>
        </w:rPr>
        <w:t>优先发展农业农村，深入推进农村产业革命，深化以“三变”改革为重点的全国农村改革试验区建设，</w:t>
      </w:r>
      <w:r>
        <w:t>加快开启乡村振兴新征程，开创乡村振兴发展新局面</w:t>
      </w:r>
      <w:r>
        <w:rPr>
          <w:rFonts w:hint="eastAsia"/>
        </w:rPr>
        <w:t>，全面打造乡村振兴的</w:t>
      </w:r>
      <w:r>
        <w:rPr>
          <w:rFonts w:hint="eastAsia"/>
          <w:lang w:eastAsia="zh-CN"/>
        </w:rPr>
        <w:t>康养水城</w:t>
      </w:r>
      <w:r>
        <w:rPr>
          <w:rFonts w:hint="eastAsia"/>
        </w:rPr>
        <w:t>样板。</w:t>
      </w:r>
    </w:p>
    <w:p>
      <w:pPr>
        <w:pStyle w:val="6"/>
        <w:spacing w:before="222"/>
      </w:pPr>
      <w:bookmarkStart w:id="32" w:name="_Toc63250060"/>
      <w:r>
        <w:rPr>
          <w:rFonts w:hint="eastAsia"/>
        </w:rPr>
        <w:t>第十二章 巩固拓展脱贫攻坚成果同乡村振兴有效衔接</w:t>
      </w:r>
      <w:bookmarkEnd w:id="32"/>
    </w:p>
    <w:p>
      <w:pPr>
        <w:ind w:firstLine="640"/>
      </w:pPr>
      <w:r>
        <w:rPr>
          <w:rFonts w:hint="eastAsia"/>
        </w:rPr>
        <w:t>持续巩固拓展脱贫攻坚成果，加快建立返贫阻断机制，持续保持政策稳定，持续落实帮扶措施，持续加强监测预警，持续增强内生动力，持续增强农业产业农民技术培训，推动减贫战略和工作体系平稳转型，统筹纳入乡村振兴战略。</w:t>
      </w:r>
    </w:p>
    <w:p>
      <w:pPr>
        <w:ind w:firstLine="0" w:firstLineChars="0"/>
        <w:jc w:val="center"/>
        <w:rPr>
          <w:b/>
          <w:bCs/>
        </w:rPr>
      </w:pPr>
      <w:r>
        <w:rPr>
          <w:rFonts w:hint="eastAsia"/>
          <w:b/>
          <w:bCs/>
        </w:rPr>
        <w:t>第一节 持续强化巩固脱贫攻坚成果</w:t>
      </w:r>
    </w:p>
    <w:p>
      <w:pPr>
        <w:ind w:firstLine="640"/>
      </w:pPr>
      <w:r>
        <w:rPr>
          <w:rFonts w:hint="eastAsia"/>
        </w:rPr>
        <w:t>推进脱贫攻坚与乡村振兴有效衔接。在如期打赢脱贫攻坚战的基础上，构建返贫阻断长效机制，让脱贫群众过上更加美好的生活。进一步压紧压实责任，补齐弱项短板，切实巩固提升脱贫攻坚成效，严格落实“脱贫摘帽”后的“四个不摘”、“五个保持不变”、“</w:t>
      </w:r>
      <w:r>
        <w:t>5个100%”、“四个不能”</w:t>
      </w:r>
      <w:r>
        <w:rPr>
          <w:rFonts w:hint="eastAsia"/>
        </w:rPr>
        <w:t>、“十个全面巩固提升”</w:t>
      </w:r>
      <w:r>
        <w:t>工作要求，建立防止返贫致贫监测和帮扶机制。</w:t>
      </w:r>
      <w:r>
        <w:rPr>
          <w:rFonts w:hint="eastAsia"/>
        </w:rPr>
        <w:t>保持投入力度总体不变，加快实现“输血”脱贫向“造血”致富、数量达标向质量提升致富主导向市场引导转变。</w:t>
      </w:r>
    </w:p>
    <w:p>
      <w:pPr>
        <w:ind w:firstLine="640"/>
      </w:pPr>
      <w:r>
        <w:rPr>
          <w:rFonts w:hint="eastAsia"/>
        </w:rPr>
        <w:t>持续加大易地扶贫搬迁后续扶持力度，确保搬迁群众“稳得住、有就业、逐步能致富”。要以“稳得住”为重点，巩固提升易地扶贫搬迁成果。加快推进迁出地资源盘活，减少搬迁群众后顾之忧，消除“两头住”。加快搬迁群众不动产登记工作，让老百姓吃下一颗定心丸。持续推进稳就业工作措施落实，帮助搬迁群众依托城市实现再就业。全面提升安置点社区治理和服务水平，让易地扶贫搬迁群众加快融入，确保易地扶贫搬迁群众稳定居住。要以“有就业”为核心，加强搬迁劳动力培训就业工作。全面排查搬迁劳动力就业情况，加大扶贫工厂、扶贫基地培育和提质增效，积极创造就业岗位。用好国家、省、市有关支持政策，有针对性地加大就业培训，做好搬迁劳动力劳务输出组织，不断拓宽就业渠道，促进就业创业，着力解决灵活就业占比大等问题。加大搬迁劳动力预警监测机制，确保有劳动力家庭一户一人以上稳定就业、零就业家庭及时动态清零。要以“逐步能致富”为目标，持续放大易地扶贫搬迁扶持效应。认真贯彻落实国家易地扶贫搬迁后续扶持政策，建立易扶搬迁后续扶持项目库，持续深入推进易地扶贫搬迁后续扶持，让搬迁群众一步住上好房子，快步过上好日子</w:t>
      </w:r>
      <w:r>
        <w:t>。</w:t>
      </w:r>
    </w:p>
    <w:p>
      <w:pPr>
        <w:ind w:firstLine="640"/>
      </w:pPr>
      <w:r>
        <w:t>持续拓展外出就业渠道，强化劳务输出组织化程度、跟踪服务和权益保障，最大限度稳定就业岗位。发挥产业园区、工业园区、扶贫基地、安置点商业设施吸纳就业作用，最大限度解决搬迁劳动力就近就业。做强做优做精农业特色产业，千方百计扩大就业容</w:t>
      </w:r>
      <w:r>
        <w:rPr>
          <w:rFonts w:hint="eastAsia"/>
        </w:rPr>
        <w:t>量，确保每个安置点本地稳定就业劳动力不减少。加大招商引资力度，加快引进和培育劳动密集型适宜产业，推动产业就业项目在安置点及附近优先布局，提供一批弹性就业岗位。</w:t>
      </w:r>
    </w:p>
    <w:p>
      <w:pPr>
        <w:ind w:firstLine="640"/>
      </w:pPr>
      <w:r>
        <w:rPr>
          <w:rFonts w:hint="eastAsia"/>
        </w:rPr>
        <w:t>鼓励支持龙头企业、农业合作社流转盘活迁出地“三块地”，引导土地规模化经营，拓宽增收渠道。确保搬迁群众“稳得住、有就业、能致富”。</w:t>
      </w:r>
      <w:r>
        <w:t>强化扶贫资金投入，拓展金融支持领域，</w:t>
      </w:r>
      <w:r>
        <w:rPr>
          <w:rFonts w:hint="eastAsia"/>
        </w:rPr>
        <w:t>加强扶贫项目资金资产管理和监督，</w:t>
      </w:r>
      <w:r>
        <w:t>构建巩固提升脱贫攻坚成果的强有力支持保障体系。</w:t>
      </w:r>
      <w:r>
        <w:rPr>
          <w:rFonts w:hint="eastAsia"/>
        </w:rPr>
        <w:t>积极争取省乡村振兴重点帮扶县政策支持，用足用好东西部扶贫协作、定点帮扶和社会帮扶力量。</w:t>
      </w:r>
    </w:p>
    <w:p>
      <w:pPr>
        <w:ind w:firstLine="0" w:firstLineChars="0"/>
        <w:jc w:val="center"/>
        <w:rPr>
          <w:b/>
          <w:bCs/>
        </w:rPr>
      </w:pPr>
      <w:r>
        <w:rPr>
          <w:rFonts w:hint="eastAsia"/>
          <w:b/>
          <w:bCs/>
        </w:rPr>
        <w:t>第二节 建立脱贫巩固长效机制</w:t>
      </w:r>
    </w:p>
    <w:p>
      <w:pPr>
        <w:ind w:firstLine="640"/>
      </w:pPr>
      <w:r>
        <w:rPr>
          <w:rFonts w:hint="eastAsia"/>
        </w:rPr>
        <w:t>加强对脱贫不稳定户、边缘易致贫户的常态监测、动态帮扶和有效防贫。建立健全防返贫监测预警机制，科学设置综合评估指标体系和监测体系，实现扶贫云与教育、卫健、民政、移民、水利、交通、住建、残联、医保、市场监管、财政、自然资源、应急、公安、农业农村、人社等相关部门数据库连接共享。用足用好各种防贫机制，多措并举全面巩固拓展“一达标两不愁三保障”、饮水安全、环境整治、易扶搬迁和产业发展等十个全面巩固拓展，确保不返贫和不发生新的绝对贫困，防止因病、因学、因灾、因残、突发事件以及新冠肺炎疫情致贫返贫。全面巩固易扶搬迁后续扶持“五个体系”建设和“两个社区”创建成果，扎实做好易扶搬迁“后半篇文章”，确保搬迁群众稳得住、有就业、逐步能致富。持续抓好政策性项目落地落实。</w:t>
      </w:r>
      <w:r>
        <w:t>按照力度不减、标准不降的要求，持续抓</w:t>
      </w:r>
      <w:r>
        <w:rPr>
          <w:rFonts w:hint="eastAsia"/>
        </w:rPr>
        <w:t>好教育、</w:t>
      </w:r>
      <w:r>
        <w:t>医疗、住房、金融、低保、易扶、饮水安全、残疾</w:t>
      </w:r>
      <w:r>
        <w:rPr>
          <w:rFonts w:hint="eastAsia"/>
        </w:rPr>
        <w:t>人保障等方面政策性项目落地落实落细，</w:t>
      </w:r>
      <w:r>
        <w:t>切实保障民生，持</w:t>
      </w:r>
      <w:r>
        <w:rPr>
          <w:rFonts w:hint="eastAsia"/>
        </w:rPr>
        <w:t>续解决群众就学就医困难、</w:t>
      </w:r>
      <w:r>
        <w:t>住房困难，以及生产经营融资难</w:t>
      </w:r>
      <w:r>
        <w:rPr>
          <w:rFonts w:hint="eastAsia"/>
        </w:rPr>
        <w:t>等问题，</w:t>
      </w:r>
      <w:r>
        <w:t>促进群众特别是建档立卡农户增收致富，杜绝返贫</w:t>
      </w:r>
      <w:r>
        <w:rPr>
          <w:rFonts w:hint="eastAsia"/>
        </w:rPr>
        <w:t>致贫现象。</w:t>
      </w:r>
    </w:p>
    <w:p>
      <w:pPr>
        <w:ind w:firstLine="640"/>
      </w:pPr>
      <w:r>
        <w:rPr>
          <w:rFonts w:hint="eastAsia"/>
        </w:rPr>
        <w:t>健全农村社会保障和救助制度，优先落实农村低保、特困供养、残疾人补助、临时救助等政策，充分发挥社会救助兜底保障作用。将日常性帮扶措施转变为常态化民生政策，将特惠性扶贫政策转变为普惠性的民生政策，将单纯针对贫困户的扶持政策转变为对乡村低收入群体的常态化扶持政策。弱化贫困户和非贫困户之间基本公共服务的差异，提升乡村基本公共服务均等化水平。建立农村危房安全动态管理机制，开展农村危房安全隐患排查整治行动和农村危房功能提升行动。探索设立扶贫救助基金，确保临时性、突发性贫困及时得到政策救助。</w:t>
      </w:r>
    </w:p>
    <w:p>
      <w:pPr>
        <w:ind w:firstLine="0" w:firstLineChars="0"/>
        <w:jc w:val="center"/>
        <w:rPr>
          <w:b/>
          <w:bCs/>
        </w:rPr>
      </w:pPr>
      <w:r>
        <w:rPr>
          <w:rFonts w:hint="eastAsia"/>
          <w:b/>
          <w:bCs/>
        </w:rPr>
        <w:t>第三节 激发群众发展内生动力</w:t>
      </w:r>
    </w:p>
    <w:p>
      <w:pPr>
        <w:ind w:firstLine="640"/>
      </w:pPr>
      <w:r>
        <w:rPr>
          <w:rFonts w:hint="eastAsia"/>
        </w:rPr>
        <w:t>将福利性政策转变为提升乡村能力的发展性政策，提升与小农户配套的生产性基础设施条件，整体增强农户家庭的自身发展动力。加大政策引导、技能培训和技术指导。结合易地扶贫搬迁安置点实际情况，强化易地扶贫搬迁安置点后续服务与保障，持续发展壮大扶贫产业</w:t>
      </w:r>
      <w:r>
        <w:t>,为群众创造更多参与产业、转移就业、自主创业的机会，大力发展农村一二三产融合发展示范园区和扶贫车间等，</w:t>
      </w:r>
      <w:r>
        <w:rPr>
          <w:rFonts w:hint="eastAsia"/>
        </w:rPr>
        <w:t>适度开发农村公益性岗位</w:t>
      </w:r>
      <w:r>
        <w:t>，拓展群众就业增收渠道。</w:t>
      </w:r>
    </w:p>
    <w:p>
      <w:pPr>
        <w:ind w:firstLine="640"/>
      </w:pPr>
      <w:r>
        <w:t>加大政策引导和技术指导，开展送技术上门活动，加强职业技能培训，培育提升群众发展生产、务工经商的基本能力，帮助群众找到致富门路。鼓励群众通过参与以工代赈等方式多渠道劳动致富。发挥基层党组织和农民合作社等的带动作用，提升群众生产组织化能力，推动群众互帮互助、抱团发展。加强思想、道德文化、感恩教育，注重扶</w:t>
      </w:r>
      <w:r>
        <w:rPr>
          <w:rFonts w:hint="eastAsia"/>
        </w:rPr>
        <w:t>志扶智相结合，建立正向激励机制，树立勤劳致富的正能量典型，让群众学有榜样、赶有方向，促进形成自强自立、争先发展的良好氛围。</w:t>
      </w:r>
    </w:p>
    <w:p>
      <w:pPr>
        <w:pStyle w:val="2"/>
        <w:rPr>
          <w:rFonts w:eastAsiaTheme="minor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专栏1</w:t>
            </w:r>
            <w:r>
              <w:rPr>
                <w:rFonts w:ascii="楷体" w:hAnsi="楷体" w:eastAsia="楷体"/>
                <w:sz w:val="26"/>
                <w:szCs w:val="26"/>
              </w:rPr>
              <w:t>1</w:t>
            </w:r>
            <w:r>
              <w:rPr>
                <w:rFonts w:hint="eastAsia" w:ascii="楷体" w:hAnsi="楷体" w:eastAsia="楷体"/>
                <w:sz w:val="26"/>
                <w:szCs w:val="26"/>
              </w:rPr>
              <w:t xml:space="preserve"> 巩固拓展脱贫攻坚重点项目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8835" w:type="dxa"/>
          </w:tcPr>
          <w:p>
            <w:pPr>
              <w:spacing w:before="60" w:line="280" w:lineRule="exact"/>
              <w:ind w:firstLine="21" w:firstLineChars="10"/>
              <w:jc w:val="left"/>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易地扶贫搬迁后续扶持项目</w:t>
            </w:r>
          </w:p>
          <w:p>
            <w:pPr>
              <w:spacing w:line="280" w:lineRule="exact"/>
              <w:ind w:firstLine="420"/>
              <w:jc w:val="left"/>
              <w:rPr>
                <w:rFonts w:ascii="楷体" w:hAnsi="楷体" w:eastAsia="楷体"/>
                <w:sz w:val="26"/>
                <w:szCs w:val="26"/>
              </w:rPr>
            </w:pPr>
            <w:r>
              <w:rPr>
                <w:rFonts w:hint="eastAsia" w:ascii="楷体_GB2312" w:eastAsia="楷体_GB2312"/>
                <w:sz w:val="21"/>
                <w:szCs w:val="21"/>
              </w:rPr>
              <w:t>重点实施水城易扶搬迁安置点污水处理设施建设、水城易地扶贫搬迁安置点农贸市场（扶贫工厂）、水城易地扶贫搬迁安置点文体活动中心、水城区9个易地扶贫搬迁社区综合便民服务中心及管理用房建设（住武社区、新业社区、新桥社区、和欣社区、野玉海安置区、巴朗社区、桃苑社区、大山社区、茶园社区）、水城区以朵街道易地扶贫搬迁卫生服务中心建设、水城区海坪街道易地扶贫搬迁派出所配套设施建设、水城区海坪街道易地扶贫搬迁安置点排水排污处理系统工程建设、水城区易地扶贫搬迁安置点教育配套建设（野玉海中学、水城经开区第一中学、严家寨中学、银矿幼儿园、严家寨幼儿园）、水城区海坪易地扶搬迁安置点公租房建设、水城经开区易地扶贫搬迁安置点公租房建设、水城区海坪街道易地扶贫搬迁安置点“智慧社区”平台建设、水城区易地扶贫搬迁安置点配套基础设施建设（海坪街道索玛－海姑塘公路）、水城经开区易地扶贫搬迁供水管网提升改造工程、水城经开区易地扶贫搬迁配套农产品综合市场及智慧停车场、水城经开区易地扶贫搬迁安置点文化广场建设、水城经开区新桥街道易地扶贫搬迁安置点敬老院建设、水城区以朵街道易地扶贫搬迁安置点社区环境巩固及美化工程建设、水城区海坪街道易地扶贫搬迁安置点环境提质改造建设、水城区海坪街道易地扶贫搬迁安置点养老服务中心建设、水城区海坪街道易地扶贫搬迁安置点文化广场建设、水城区海坪街道易地扶贫搬迁安置点彝族村民俗文化园建设、水城区海坪街道易地扶贫搬迁安置点彝族民俗小巷及散居院落改造建设、水城区海坪街道易地扶贫搬迁安置点基础设施提升改造建设、水城区海坪街道易地扶贫搬迁安置点森林康养医院建设、水城区米箩镇易地扶贫搬迁安置点道路建设（巴朗社区－半方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trPr>
        <w:tc>
          <w:tcPr>
            <w:tcW w:w="8835" w:type="dxa"/>
          </w:tcPr>
          <w:p>
            <w:pPr>
              <w:spacing w:before="60" w:line="280" w:lineRule="exact"/>
              <w:ind w:firstLine="21" w:firstLineChars="10"/>
              <w:jc w:val="left"/>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重点扶贫项目</w:t>
            </w:r>
          </w:p>
          <w:p>
            <w:pPr>
              <w:spacing w:line="280" w:lineRule="exact"/>
              <w:ind w:firstLine="420"/>
            </w:pPr>
            <w:r>
              <w:rPr>
                <w:rFonts w:hint="eastAsia" w:ascii="楷体_GB2312" w:eastAsia="楷体_GB2312"/>
                <w:sz w:val="21"/>
                <w:szCs w:val="21"/>
              </w:rPr>
              <w:t>重点实施水城易地扶贫搬迁后续扶持产业园、水城桃花蛋鸡养殖、水城董地街道温氏一体化养殖小区、水城区以鱼净水生态渔业、水城经开区易地扶贫搬迁后续扶持产业园建设、水城食用菌冷链物流集散中心改扩建、水城7万亩烤烟种植、水城3万亩芋头种植、水城精品水果种植、水城经开区立威铝业等项目建设、水城区易地扶贫搬迁安置点食用菌种场建设、水城经开区易地扶贫搬迁安置点农贸市场（扶贫工厂）建设、水城区南部园区易地扶安置点扶贫工厂建设、水城区食用菌分捡中心（以朵易地扶贫搬迁安置点产业配套项目)、水城区海坪街道易地扶贫搬迁安置点就业创业一条街建设、水城区陡箐镇易地扶贫搬迁安置点竹制品加工厂建设、水城区陡箐镇易地扶贫搬迁安置点种桑养蚕基地建设、水城区蟠龙镇易地扶贫搬迁安置点农业观光采摘园建设、水城区蟠龙镇易地扶贫搬迁安置点辣椒种植基地建设、水城区蟠龙镇易地扶贫搬迁安置点农贸市场建设、水城区野玉海易地扶贫搬迁安置点帕斯谷花卉基地建设、水城区海坪街道易地扶贫搬迁安置点食用菌基地灌溉工程建设、水城区海坪街道易地扶贫搬迁安置点微田园建设、水城区海坪街道易地扶贫搬迁安置点产业培训基地建设、水城区海坪街道易地扶贫搬迁安置点农贸集市改造工程建设、水城区海坪街道易地扶贫搬迁安置点高标准农田建设（甘塘村）、水城区海坪街道易地扶贫搬迁安置点民俗驿站建设、水城区海坪街道易地扶贫搬迁安置点有机蔬菜种植建设、水城区以朵街道易地扶贫搬迁安置点塑料制品厂建设、水城区南部园区易地扶贫搬迁安置点茶叶基地标准化建设、水城区南部园区易地扶贫搬迁安置点低产茶叶改造建设、水城区南部园区易地扶贫搬迁安置点垃圾处理设施建设、水城区南部园区易地扶贫搬迁安置点茶青交易市场等扶贫项目。</w:t>
            </w:r>
          </w:p>
        </w:tc>
      </w:tr>
    </w:tbl>
    <w:p>
      <w:pPr>
        <w:pStyle w:val="6"/>
        <w:spacing w:before="222"/>
      </w:pPr>
      <w:bookmarkStart w:id="33" w:name="_Toc63250061"/>
      <w:r>
        <w:rPr>
          <w:rFonts w:hint="eastAsia"/>
        </w:rPr>
        <w:t>第十三章 大力发展现代山地特色高效农业</w:t>
      </w:r>
      <w:bookmarkEnd w:id="33"/>
    </w:p>
    <w:p>
      <w:pPr>
        <w:ind w:firstLine="640"/>
      </w:pPr>
      <w:r>
        <w:rPr>
          <w:rFonts w:hint="eastAsia"/>
        </w:rPr>
        <w:t>着力在“管、</w:t>
      </w:r>
      <w:r>
        <w:t>建、产、加、销”五大环节上下功夫，抓管护提成效、抓建设强规模、抓生产出效益、抓加工延链条、抓销售增价值，不断做强产业规模、做大产业成效、做好生产经营、做全产业体系、做宽销售渠道，</w:t>
      </w:r>
      <w:r>
        <w:rPr>
          <w:rFonts w:hint="eastAsia"/>
        </w:rPr>
        <w:t>进一步完善利益联结机制，</w:t>
      </w:r>
      <w:r>
        <w:t>推动现代山地特色农业更好更快更高质量发展。</w:t>
      </w:r>
      <w:r>
        <w:rPr>
          <w:rFonts w:hint="eastAsia"/>
        </w:rPr>
        <w:t>力争“十四五”末全区农业总产值达</w:t>
      </w:r>
      <w:r>
        <w:t>200亿元。</w:t>
      </w:r>
    </w:p>
    <w:p>
      <w:pPr>
        <w:ind w:firstLine="640"/>
      </w:pPr>
      <w:r>
        <w:rPr>
          <w:rFonts w:hint="eastAsia"/>
        </w:rPr>
        <w:t>深入推进农村产业革命，充分利用丰富的生态资源和良好的种植基础，遵循品牌带动、适当集中、规模生产的原则，重点推进猕猴桃、刺梨、茶叶、食用菌、桃花蛋鸡、温氏养猪、烤烟、精品水果、中草药等山地特色现代农业产业集群。到</w:t>
      </w:r>
      <w:r>
        <w:t>2025年，食用菌、温氏养猪产值分别达到20亿元以上，猕猴桃、刺梨、精品水果、桃花蛋鸡产值分别达到10亿元以上，茶叶、烤烟产值分别达到5亿元以上。</w:t>
      </w:r>
    </w:p>
    <w:p>
      <w:pPr>
        <w:spacing w:line="570" w:lineRule="exact"/>
        <w:ind w:firstLine="0" w:firstLineChars="0"/>
        <w:jc w:val="center"/>
      </w:pPr>
      <w:r>
        <w:rPr>
          <w:rFonts w:hint="eastAsia"/>
          <w:b/>
          <w:bCs/>
        </w:rPr>
        <w:t>第一节 做大做强猕猴桃产业</w:t>
      </w:r>
    </w:p>
    <w:p>
      <w:pPr>
        <w:ind w:firstLine="640"/>
      </w:pPr>
      <w:r>
        <w:rPr>
          <w:rFonts w:hint="eastAsia"/>
        </w:rPr>
        <w:t>强化科技支撑，充分发挥科技在产业发展中的支撑作用，大力推广机械化、智能化技术示范应用。加大品种培育、人才培养，全面提升技术服务体系建设力度。优化产业布局，延长采摘周期，在都格、发耳、花戛等低海拔河谷地区布局一批花粉基地，研究绿色提质增效标准化技术，提升单位面积效益，力争建成</w:t>
      </w:r>
      <w:r>
        <w:t>8万亩“吨果园”</w:t>
      </w:r>
      <w:r>
        <w:rPr>
          <w:rFonts w:hint="eastAsia"/>
        </w:rPr>
        <w:t>。扩大示范规模，提升病虫害及气候灾害防治水平。搭建科研、政府、企业和种植户融合发展平台。完善基础设施，抓好猕猴桃果园节水灌溉建设项目，实施</w:t>
      </w:r>
      <w:r>
        <w:t>60个猕猴桃果园5万亩引灌工程，增加抵御自然风险的能力。推进猕猴桃病虫害防治和猕猴桃防冰雹网、猕猴桃花粉厂建设，构建猕猴桃质量安全溯源体系，加快推进“弥你红”鲜果加工技术改造升级，扩大猕猴桃蒸馏酒、饮料清汁产能，</w:t>
      </w:r>
      <w:r>
        <w:rPr>
          <w:rFonts w:hint="eastAsia"/>
        </w:rPr>
        <w:t>全面开发休闲干果、罐装水果、果脯蜜饯、果品饮料等系列产品</w:t>
      </w:r>
      <w:r>
        <w:t>,大力宣传推介“中国野生猕猴桃之乡”,重点打造“水城红心猕猴桃”等特色优势品牌</w:t>
      </w:r>
      <w:r>
        <w:rPr>
          <w:rFonts w:hint="eastAsia"/>
        </w:rPr>
        <w:t>，</w:t>
      </w:r>
      <w:r>
        <w:t>切实将水城区打造成为贵州</w:t>
      </w:r>
      <w:r>
        <w:rPr>
          <w:rFonts w:hint="eastAsia"/>
        </w:rPr>
        <w:t>精品</w:t>
      </w:r>
      <w:r>
        <w:t>水果行业的先行区、示范区。</w:t>
      </w:r>
    </w:p>
    <w:p>
      <w:pPr>
        <w:spacing w:line="570" w:lineRule="exact"/>
        <w:ind w:firstLine="0" w:firstLineChars="0"/>
        <w:jc w:val="center"/>
      </w:pPr>
      <w:r>
        <w:rPr>
          <w:rFonts w:hint="eastAsia"/>
          <w:b/>
          <w:bCs/>
        </w:rPr>
        <w:t>第二节 做优做实刺梨产业</w:t>
      </w:r>
    </w:p>
    <w:p>
      <w:pPr>
        <w:ind w:firstLine="640"/>
        <w:rPr>
          <w:highlight w:val="yellow"/>
        </w:rPr>
      </w:pPr>
      <w:r>
        <w:rPr>
          <w:rFonts w:hint="eastAsia"/>
        </w:rPr>
        <w:t>以水城经开区为龙头，逐步布局刺梨加工产业，推进刺梨食品、药品、保健品、化妆品等产品研发生产，</w:t>
      </w:r>
      <w:bookmarkStart w:id="34" w:name="_Hlk56112573"/>
      <w:r>
        <w:rPr>
          <w:rFonts w:hint="eastAsia"/>
        </w:rPr>
        <w:t>支持贵州初好刺梨市场拓展投入，研发平台及加工企业做大做强，打造刺梨产业集群，建成绿色、有机、高品质的刺梨产业生产加工基地。扶持初好建立完善电商销售平台，整合全区农特产品进入平台协同发展。</w:t>
      </w:r>
      <w:bookmarkEnd w:id="34"/>
      <w:r>
        <w:rPr>
          <w:rFonts w:hint="eastAsia"/>
        </w:rPr>
        <w:t>深入推进刺梨产业基地标准化、规范化、品牌化发展，着力建成优质</w:t>
      </w:r>
      <w:r>
        <w:rPr>
          <w:rFonts w:hint="eastAsia"/>
          <w:color w:val="FF0000"/>
          <w:highlight w:val="yellow"/>
        </w:rPr>
        <w:t>高效产业基地。力争到“十四五”末亩产千斤以上的刺梨“千斤园”建成1</w:t>
      </w:r>
      <w:r>
        <w:rPr>
          <w:color w:val="FF0000"/>
          <w:highlight w:val="yellow"/>
        </w:rPr>
        <w:t>5</w:t>
      </w:r>
      <w:r>
        <w:rPr>
          <w:rFonts w:hint="eastAsia"/>
          <w:color w:val="FF0000"/>
          <w:highlight w:val="yellow"/>
        </w:rPr>
        <w:t>万亩，全面做好鲜果收购、加工及销售工作。</w:t>
      </w:r>
    </w:p>
    <w:p>
      <w:pPr>
        <w:spacing w:line="570" w:lineRule="exact"/>
        <w:ind w:firstLine="0" w:firstLineChars="0"/>
        <w:jc w:val="center"/>
      </w:pPr>
      <w:r>
        <w:rPr>
          <w:rFonts w:hint="eastAsia"/>
          <w:b/>
          <w:bCs/>
        </w:rPr>
        <w:t>第三节 提质发展茶叶产业</w:t>
      </w:r>
      <w:bookmarkStart w:id="35" w:name="_Hlk56087025"/>
    </w:p>
    <w:p>
      <w:pPr>
        <w:ind w:firstLine="640"/>
      </w:pPr>
      <w:r>
        <w:rPr>
          <w:rFonts w:hint="eastAsia"/>
        </w:rPr>
        <w:t>坚持“提档、增产、全利用”，深挖“早、贡、古、好”潜力做足茶文章，着力打造以“水城春”为引领的贵州“早春茶”区域品牌，鼓励、支持、引导水城茶产业在人才引进、制度改革、营销建设上下功夫，努力建成高山优质绿茶生态原产地保护示范基地和水城优质早春茶产业带，力争建成5</w:t>
      </w:r>
      <w:r>
        <w:t>万亩“</w:t>
      </w:r>
      <w:r>
        <w:rPr>
          <w:rFonts w:hint="eastAsia"/>
        </w:rPr>
        <w:t>万元田</w:t>
      </w:r>
      <w:r>
        <w:t>”</w:t>
      </w:r>
      <w:r>
        <w:rPr>
          <w:rFonts w:hint="eastAsia"/>
        </w:rPr>
        <w:t>。推动新建、改扩建茶叶初制生产线、精深生产线，促进初精制分离，改进加工工艺，提高茶叶品质；以绿茶为主，大力开发白茶、红茶等市场需求大的产品，鼓励开发加工抹茶、花茶、铁皮石斛伴生红茶等新品。着力改善现有茶园基础设施条件，提升茶园管护水平，强化茶园肥培管理和绿色防控，有序推进机采茶园建设。加大古茶树保护与开发，</w:t>
      </w:r>
      <w:r>
        <w:t>深掘古树茶的内涵和魅力，开拓古树茶市场前景，讲好古</w:t>
      </w:r>
      <w:r>
        <w:rPr>
          <w:rFonts w:hint="eastAsia"/>
        </w:rPr>
        <w:t>树茶故事，</w:t>
      </w:r>
      <w:r>
        <w:t>打造高山古树茶之乡</w:t>
      </w:r>
      <w:r>
        <w:rPr>
          <w:rFonts w:hint="eastAsia"/>
        </w:rPr>
        <w:t>。</w:t>
      </w:r>
      <w:bookmarkEnd w:id="35"/>
      <w:r>
        <w:rPr>
          <w:rFonts w:hint="eastAsia"/>
        </w:rPr>
        <w:t>加快推进</w:t>
      </w:r>
      <w:r>
        <w:t>1.5万亩高标准茶园建设，加大奶茶原料、茶饮料研发，做好做足“夏秋茶”文章，确保茶产业实现全利用。</w:t>
      </w:r>
    </w:p>
    <w:p>
      <w:pPr>
        <w:spacing w:line="570" w:lineRule="exact"/>
        <w:ind w:firstLine="0" w:firstLineChars="0"/>
        <w:jc w:val="center"/>
        <w:rPr>
          <w:b/>
          <w:bCs/>
        </w:rPr>
      </w:pPr>
      <w:r>
        <w:rPr>
          <w:rFonts w:hint="eastAsia"/>
          <w:b/>
          <w:bCs/>
        </w:rPr>
        <w:t>第四节</w:t>
      </w:r>
      <w:r>
        <w:rPr>
          <w:b/>
          <w:bCs/>
        </w:rPr>
        <w:t xml:space="preserve"> 做特做优精品水果</w:t>
      </w:r>
    </w:p>
    <w:p>
      <w:pPr>
        <w:ind w:firstLine="640"/>
      </w:pPr>
      <w:r>
        <w:t>依托水城自然资源禀赋，大力推进精品水果产业发展，试点樱桃、蜂糖李、柠檬橘、西梅、红心柚新品种种植，提高精品水果的储存、加工、销售能力。打造一批以米箩、发耳、都格等地区为代表的精品水果生产基地，到2025年，精品水果面积稳定在20万亩以上</w:t>
      </w:r>
      <w:r>
        <w:rPr>
          <w:rFonts w:hint="eastAsia"/>
        </w:rPr>
        <w:t>。</w:t>
      </w:r>
    </w:p>
    <w:p>
      <w:pPr>
        <w:spacing w:line="570" w:lineRule="exact"/>
        <w:ind w:firstLine="0" w:firstLineChars="0"/>
        <w:jc w:val="center"/>
      </w:pPr>
      <w:r>
        <w:rPr>
          <w:rFonts w:hint="eastAsia"/>
          <w:b/>
          <w:bCs/>
        </w:rPr>
        <w:t>第五节 做特做精食用菌产业</w:t>
      </w:r>
    </w:p>
    <w:p>
      <w:pPr>
        <w:ind w:firstLine="640"/>
      </w:pPr>
      <w:r>
        <w:rPr>
          <w:rFonts w:hint="eastAsia"/>
        </w:rPr>
        <w:t>围绕食用菌精深加工，进一步强化食用菌产业科技支撑，打造食用菌物联网，拓展食用菌产业功能，做优食用菌品种，提高食用菌附加值。充分发挥龙头企业带动作用，加大对食用菌优强企业扶持力度。积极发展食用干菌、食用菌香辣酱、食用菌汤料、食用菌脆片、食用菌多糖、食用菌超微粉等深加工产品，推动菌种研发、菌棒生产、出菇基地建设、集散市场、菌棒无害化处理、食用菌深加工等方面形成闭合的产业链条。以水城康群缘生物科技公司为龙头，做好食用菌产业菌棒供应，加快推进水城菌种场改扩建项目，延长食用菌产业链，大力发展珍稀食用菌，着力将水城建设成为全省食用菌菌种研发基地和珍稀食用菌示范县（区），全面形成以水城珍稀食用菌为代表的贵州食用菌名牌。</w:t>
      </w:r>
    </w:p>
    <w:p>
      <w:pPr>
        <w:spacing w:line="570" w:lineRule="exact"/>
        <w:ind w:firstLine="0" w:firstLineChars="0"/>
        <w:jc w:val="center"/>
      </w:pPr>
      <w:r>
        <w:rPr>
          <w:rFonts w:hint="eastAsia"/>
          <w:b/>
          <w:bCs/>
        </w:rPr>
        <w:t>第六节 巩固提升温氏养猪和桃花鸡产业</w:t>
      </w:r>
    </w:p>
    <w:p>
      <w:pPr>
        <w:ind w:firstLine="640"/>
      </w:pPr>
      <w:r>
        <w:rPr>
          <w:rFonts w:hint="eastAsia"/>
        </w:rPr>
        <w:t>以绿色生态、营养健康为发展方向，坚持适度规模经营，走标准化生产、产业化带动、集约化经营、组织化运行、品牌化销售的道路，支持一批养殖龙头企业发展壮大。坚持“特色化、品牌化、标准化、规模化”推进温氏养猪和桃花鸡产业发展，加快温氏养猪一体化项目和饲料加工厂项目，助推农户增收致富。推进桃花蛋鸡综合养殖场建设和现有养殖小区提升改造、蛋品分级、安全饮水、基础设施巩固提升、粪污处理。</w:t>
      </w:r>
      <w:bookmarkStart w:id="36" w:name="_Hlk56350871"/>
    </w:p>
    <w:p>
      <w:pPr>
        <w:spacing w:line="570" w:lineRule="exact"/>
        <w:ind w:firstLine="0" w:firstLineChars="0"/>
        <w:jc w:val="center"/>
      </w:pPr>
      <w:r>
        <w:rPr>
          <w:rFonts w:hint="eastAsia"/>
          <w:b/>
          <w:bCs/>
        </w:rPr>
        <w:t>第七节 全力推进短平快产业发展</w:t>
      </w:r>
    </w:p>
    <w:p>
      <w:pPr>
        <w:ind w:firstLine="640"/>
      </w:pPr>
      <w:r>
        <w:rPr>
          <w:rFonts w:hint="eastAsia"/>
        </w:rPr>
        <w:t>确保烤烟产业种植面积在</w:t>
      </w:r>
      <w:r>
        <w:t>7万亩以上</w:t>
      </w:r>
      <w:r>
        <w:rPr>
          <w:rFonts w:hint="eastAsia"/>
        </w:rPr>
        <w:t>，</w:t>
      </w:r>
      <w:r>
        <w:t>加快烤烟生产的全面转型升级，促进烤烟产业稳定健康高质量发展</w:t>
      </w:r>
      <w:r>
        <w:rPr>
          <w:rFonts w:hint="eastAsia"/>
        </w:rPr>
        <w:t>。</w:t>
      </w:r>
      <w:bookmarkEnd w:id="36"/>
      <w:r>
        <w:rPr>
          <w:rFonts w:hint="eastAsia"/>
        </w:rPr>
        <w:t>创新推进水城中药材培育基地和研究所建设项目，助推中草药材产业发展，重点发展以根茎类为主，全草类为辅的品种，加强本地药材种植资源保护和培育，着力建设一批高质量良种繁育基地和规模化标准化种植基地，加快发展中药材加工产业，加大药食同源中药材开发利用。稳步推进桑蚕产业。合理推进农产品加工和批发、冷链物流和分拣、农特产品包装、牲畜家禽屠宰等配套产业项目。创新发展“水城羊肉粉”产业，支持方便速食“水城羊肉粉”产业发展壮大，借助现有产业及品牌优势，整合企业经营主体力量，大力拓展羊肉粉食材“原产地加工基地</w:t>
      </w:r>
      <w:r>
        <w:t>+全国连锁经营”模式，加快布局省内外市场</w:t>
      </w:r>
      <w:r>
        <w:rPr>
          <w:rFonts w:hint="eastAsia"/>
        </w:rPr>
        <w:t>。大力推进畜禽集中屠宰，进一步完善水城现代化屠宰园区设施设备。加快推进以鱼净水生态渔业示范区建设。</w:t>
      </w:r>
    </w:p>
    <w:p>
      <w:pPr>
        <w:spacing w:line="570" w:lineRule="exact"/>
        <w:ind w:firstLine="0" w:firstLineChars="0"/>
        <w:jc w:val="center"/>
      </w:pPr>
      <w:r>
        <w:rPr>
          <w:rFonts w:hint="eastAsia"/>
          <w:b/>
          <w:bCs/>
        </w:rPr>
        <w:t>第八节 大力发展林下经济</w:t>
      </w:r>
    </w:p>
    <w:p>
      <w:pPr>
        <w:ind w:firstLine="640"/>
      </w:pPr>
      <w:r>
        <w:rPr>
          <w:rFonts w:hint="eastAsia"/>
        </w:rPr>
        <w:t>按照长短结合、种养结合、林上林下结合的要求，积极发展立体林业和林业循环经济，大力发展林产品精深加工、森林康养、森林旅游等，实现林地生态价值和经济价值的最大化。重点发展林果、林禽、林菌、林药、林蜂、林油等林下经济和林特产业，推动“林业</w:t>
      </w:r>
      <w:r>
        <w:t>+产业”融合发展。</w:t>
      </w:r>
      <w:r>
        <w:rPr>
          <w:rFonts w:hint="eastAsia"/>
        </w:rPr>
        <w:t>因地制宜推动茶油精深加工项目建设。以蟠龙、果布戛、花戛等乡镇区域为重点，合理推进中蜂生态养殖，做好蜂蜜加工包装等配套工程。在布局实施并已种植大球盖菇、黑木耳等经济作物基础上，逐步推进白芨、板蓝根、天门冬等中药材种植。到</w:t>
      </w:r>
      <w:r>
        <w:t>2025年，</w:t>
      </w:r>
      <w:r>
        <w:rPr>
          <w:rFonts w:hint="eastAsia"/>
        </w:rPr>
        <w:t>林下经济</w:t>
      </w:r>
      <w:r>
        <w:t>实现产值</w:t>
      </w:r>
      <w:r>
        <w:rPr>
          <w:rFonts w:hint="eastAsia"/>
        </w:rPr>
        <w:t>7.5</w:t>
      </w:r>
      <w:r>
        <w:t>亿元</w:t>
      </w:r>
      <w:r>
        <w:rPr>
          <w:rFonts w:hint="eastAsia"/>
        </w:rPr>
        <w:t>。</w:t>
      </w:r>
    </w:p>
    <w:p>
      <w:pPr>
        <w:spacing w:line="570" w:lineRule="exact"/>
        <w:ind w:firstLine="0" w:firstLineChars="0"/>
        <w:jc w:val="center"/>
        <w:rPr>
          <w:b/>
          <w:bCs/>
        </w:rPr>
      </w:pPr>
      <w:r>
        <w:rPr>
          <w:rFonts w:hint="eastAsia"/>
          <w:b/>
          <w:bCs/>
        </w:rPr>
        <w:t>第九节 推进粮食安全和菜篮子建设</w:t>
      </w:r>
    </w:p>
    <w:p>
      <w:pPr>
        <w:ind w:firstLine="640"/>
        <w:rPr>
          <w:b/>
          <w:bCs/>
        </w:rPr>
      </w:pPr>
      <w:r>
        <w:rPr>
          <w:rFonts w:hint="eastAsia"/>
        </w:rPr>
        <w:t>筑牢粮食安全。以保障粮食安全为底线，落实“藏粮于地、藏粮于技”战略，加强粮食生产功能区、重要农产品生产保护区建设，推进优质粮食工程。加快高标准农田建设，真正实现粮食旱涝保收、高产稳产。不断增强粮食安全责任意识，全力抓好粮食安全各项工作。严守耕地红线，科学合理用好现有耕地资源，充分挖掘现有耕地的潜力与活力，优先满足粮食和食用农产品生产。严防耕地“非粮化”“非农化”，保障粮食安全、守住耕地保护红线。</w:t>
      </w:r>
    </w:p>
    <w:p>
      <w:pPr>
        <w:ind w:firstLine="640"/>
      </w:pPr>
      <w:r>
        <w:rPr>
          <w:rFonts w:hint="eastAsia"/>
        </w:rPr>
        <w:t>推进菜篮子建设。加强郊区商品蔬菜基地发展，加快东城区农产品批发市场升级改造和农产品果蔬农贸市场建设，加强陡箐二甲坝区、野钟响石坝区建设力度。全面推进小康菜园工程建设，突出抓好“五线多产业</w:t>
      </w:r>
      <w:r>
        <w:t>N示范”建设，对示范点进行集中连片打造，</w:t>
      </w:r>
      <w:r>
        <w:rPr>
          <w:rFonts w:hint="eastAsia"/>
        </w:rPr>
        <w:t>在房前屋后及棚架旁种植猕猴桃、红心柚、葡萄等精品水果，实现小康菜园绿色发展。</w:t>
      </w:r>
    </w:p>
    <w:p>
      <w:pPr>
        <w:ind w:firstLine="643"/>
        <w:jc w:val="center"/>
        <w:rPr>
          <w:b/>
          <w:bCs/>
        </w:rPr>
      </w:pPr>
      <w:r>
        <w:rPr>
          <w:rFonts w:hint="eastAsia"/>
          <w:b/>
          <w:bCs/>
        </w:rPr>
        <w:t>第十节 优化生态农业空间布局</w:t>
      </w:r>
    </w:p>
    <w:p>
      <w:pPr>
        <w:ind w:firstLine="640"/>
      </w:pPr>
      <w:r>
        <w:rPr>
          <w:rFonts w:hint="eastAsia"/>
        </w:rPr>
        <w:t>在国土空间规划资源环境承载力和国土空间开发适宜性评价基础上，结合东部、中部、南部、杨梅园区的引领作用，形成“分散</w:t>
      </w:r>
      <w:r>
        <w:t>-集中”结合的多层网络化产业空间结构。</w:t>
      </w:r>
      <w:r>
        <w:rPr>
          <w:rFonts w:hint="eastAsia"/>
        </w:rPr>
        <w:t>强化绿色导向、标准引领，规划建设一批规模化、集约化、现代化的高标准种养殖基地。</w:t>
      </w:r>
    </w:p>
    <w:p>
      <w:pPr>
        <w:ind w:firstLine="640"/>
      </w:pPr>
      <w:r>
        <w:rPr>
          <w:rFonts w:hint="eastAsia"/>
        </w:rPr>
        <w:t>优化猕猴桃产业空间，布局以国家现代农业产业园为载体平台，以猴场、蟠龙、阿戛、米箩、勺米、</w:t>
      </w:r>
      <w:bookmarkStart w:id="37" w:name="_Hlk61037618"/>
      <w:r>
        <w:rPr>
          <w:rFonts w:hint="eastAsia"/>
        </w:rPr>
        <w:t>花戛</w:t>
      </w:r>
      <w:bookmarkEnd w:id="37"/>
      <w:r>
        <w:rPr>
          <w:rFonts w:hint="eastAsia"/>
        </w:rPr>
        <w:t>等乡镇为核心，以水城猕猴桃果园运输通道为纽带，辐射带动周边</w:t>
      </w:r>
      <w:r>
        <w:t>12个乡镇猕猴桃产业发展，加快北盘江峡谷农旅产业带、百里猕猴桃产业带建设，着力建构“一园两带五区”</w:t>
      </w:r>
      <w:bookmarkStart w:id="38" w:name="_Hlk51061546"/>
      <w:r>
        <w:t>猕猴桃产业空间布局</w:t>
      </w:r>
      <w:bookmarkEnd w:id="38"/>
      <w:r>
        <w:t>。</w:t>
      </w:r>
    </w:p>
    <w:p>
      <w:pPr>
        <w:ind w:firstLine="640"/>
      </w:pPr>
      <w:r>
        <w:rPr>
          <w:rFonts w:hint="eastAsia"/>
        </w:rPr>
        <w:t>优化</w:t>
      </w:r>
      <w:r>
        <w:t>刺梨</w:t>
      </w:r>
      <w:r>
        <w:rPr>
          <w:rFonts w:hint="eastAsia"/>
        </w:rPr>
        <w:t>产业空间，以一乡（镇、街道）一园、一村（居）一点为核心，按照相对集中连片、因地制宜、分类经营方式，到“十四五”末，建成刺梨产业“千斤园”</w:t>
      </w:r>
      <w:r>
        <w:t>15万亩、一般基地5万亩的原材料基地、以生态效益为主20万亩基地。打造刺梨产业集群，形成产、供、销、游协同发展。</w:t>
      </w:r>
    </w:p>
    <w:p>
      <w:pPr>
        <w:ind w:firstLine="640"/>
      </w:pPr>
      <w:r>
        <w:rPr>
          <w:rFonts w:hint="eastAsia"/>
        </w:rPr>
        <w:t>优化茶产业空间，以南部农业产业园区为载体，以龙场、顺场、新街、杨梅为核心区，辐射玉舍、米萝、蟠龙、比德、勺米、果布戛、阿戛等</w:t>
      </w:r>
      <w:r>
        <w:t>11个乡镇适宜茶叶种植区域为重点，大力开展标准化茶园建设，积极引进培育发展茶产业龙头企业，实行茶产业化经营发展。</w:t>
      </w:r>
    </w:p>
    <w:p>
      <w:pPr>
        <w:spacing w:after="60"/>
        <w:ind w:firstLine="640"/>
      </w:pPr>
      <w:r>
        <w:rPr>
          <w:rFonts w:hint="eastAsia"/>
        </w:rPr>
        <w:t>优化食用菌空间，</w:t>
      </w:r>
      <w:r>
        <w:t>以杨梅乡姬官营菌种场</w:t>
      </w:r>
      <w:r>
        <w:rPr>
          <w:rFonts w:hint="eastAsia"/>
        </w:rPr>
        <w:t>、</w:t>
      </w:r>
      <w:r>
        <w:t>阿戛镇群福食用菌生态产业示范园等为依托，以发耳、米箩、营盘、玉舍、鸡场、陡箐、董地、杨梅、野钟、</w:t>
      </w:r>
      <w:r>
        <w:rPr>
          <w:rFonts w:hint="eastAsia"/>
        </w:rPr>
        <w:t>花戛、</w:t>
      </w:r>
      <w:r>
        <w:t>果布戛</w:t>
      </w:r>
      <w:r>
        <w:rPr>
          <w:rFonts w:hint="eastAsia"/>
        </w:rPr>
        <w:t>、蟠龙、海坪</w:t>
      </w:r>
      <w:r>
        <w:t>等乡镇区域为重点，</w:t>
      </w:r>
      <w:r>
        <w:rPr>
          <w:rFonts w:hint="eastAsia"/>
        </w:rPr>
        <w:t>大力发展香菇、</w:t>
      </w:r>
      <w:r>
        <w:t>秀珍</w:t>
      </w:r>
      <w:r>
        <w:rPr>
          <w:rFonts w:hint="eastAsia"/>
        </w:rPr>
        <w:t>菇、</w:t>
      </w:r>
      <w:r>
        <w:t>茶树菇、黑皮鸡枞、竹荪、姬松茸</w:t>
      </w:r>
      <w:r>
        <w:rPr>
          <w:rFonts w:hint="eastAsia"/>
        </w:rPr>
        <w:t>、黑木耳</w:t>
      </w:r>
      <w:r>
        <w:t>等食用菌种植</w:t>
      </w:r>
      <w:r>
        <w:rPr>
          <w:rFonts w:hint="eastAsia"/>
        </w:rPr>
        <w:t>，探索发展“林</w:t>
      </w:r>
      <w:r>
        <w:t>-菌”等主体、复合多元生产模式，鼓励发展更多特色珍稀食用菌品种，积极探索林下仿生栽培模式，挖掘山地食用菌产业巨大潜力，推动持续裂变发展，不断做强市场竞争力。</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 xml:space="preserve">12 </w:t>
            </w:r>
            <w:r>
              <w:rPr>
                <w:rFonts w:hint="eastAsia" w:ascii="楷体" w:hAnsi="楷体" w:eastAsia="楷体"/>
                <w:sz w:val="26"/>
                <w:szCs w:val="26"/>
              </w:rPr>
              <w:t>山地特色现代农业重点项目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养殖业提升工程</w:t>
            </w:r>
          </w:p>
          <w:p>
            <w:pPr>
              <w:keepLines/>
              <w:spacing w:before="60" w:line="280" w:lineRule="exact"/>
              <w:ind w:firstLine="420"/>
              <w:rPr>
                <w:rFonts w:ascii="楷体" w:hAnsi="楷体" w:eastAsia="楷体"/>
                <w:sz w:val="26"/>
                <w:szCs w:val="26"/>
              </w:rPr>
            </w:pPr>
            <w:r>
              <w:rPr>
                <w:rFonts w:hint="eastAsia" w:ascii="楷体_GB2312" w:eastAsia="楷体_GB2312"/>
                <w:sz w:val="21"/>
                <w:szCs w:val="21"/>
              </w:rPr>
              <w:t>重点实施水城现代化畜禽屠宰园区设施设备改造、水城温氏养猪饲料厂、水城蛋粉加工厂、水城猪肉制品加工厂等项目建设。推进水城温氏养猪（二期）建设项目、水城桃花蛋鸡综合养殖项目，建成养殖蛋鸡总规模330万羽（养殖单元88栋，年产蛋10亿枚）、蛋鸡饲料加工厂1座、鸡粪综合处理有机肥厂1座、并针对各养殖小区实施情况启动桃花鸡产业、畜禽安全饮水、产业道路等配套设施的巩固提升。推进中蜂生态养殖项目，实施3万群高标准中蜂、建成蜂蜜加工厂1座、蜂蜜包装厂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猕猴桃产业提升工程</w:t>
            </w:r>
          </w:p>
          <w:p>
            <w:pPr>
              <w:keepLines/>
              <w:spacing w:line="280" w:lineRule="exact"/>
              <w:ind w:firstLine="420"/>
              <w:rPr>
                <w:rFonts w:ascii="楷体_GB2312" w:eastAsia="楷体_GB2312"/>
                <w:b/>
                <w:bCs/>
                <w:sz w:val="21"/>
                <w:szCs w:val="21"/>
              </w:rPr>
            </w:pPr>
            <w:r>
              <w:rPr>
                <w:rFonts w:hint="eastAsia" w:ascii="楷体_GB2312" w:eastAsia="楷体_GB2312"/>
                <w:sz w:val="21"/>
                <w:szCs w:val="21"/>
              </w:rPr>
              <w:t>重点实施水城猕猴桃雄株商品化基地和花粉加工厂建设、水城鲜果加工技术改造提升、水城猕猴桃精深加工研发基地、水城猕猴桃果汁饮料加工厂建设等项目建设。推进水城猕猴桃果园运输通道建设130公里，采摘便道40公里。推进猕猴桃果园5万亩节水引灌工程。推进水城猕猴桃高标准基地、水城猕猴桃病虫害综合防治、水城猕猴桃质量安全溯源体系、水城猕猴桃防冰雹网、猴桃果干和果糕研发与生产、猕猴桃采后商品化处理提升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刺梨产业提升工程</w:t>
            </w:r>
          </w:p>
          <w:p>
            <w:pPr>
              <w:keepLines/>
              <w:spacing w:line="280" w:lineRule="exact"/>
              <w:ind w:firstLine="420"/>
              <w:rPr>
                <w:rFonts w:ascii="楷体_GB2312" w:eastAsia="楷体_GB2312"/>
                <w:b/>
                <w:bCs/>
                <w:sz w:val="21"/>
                <w:szCs w:val="21"/>
              </w:rPr>
            </w:pPr>
            <w:r>
              <w:rPr>
                <w:rFonts w:hint="eastAsia" w:ascii="楷体_GB2312" w:eastAsia="楷体_GB2312"/>
                <w:color w:val="000000" w:themeColor="text1"/>
                <w:sz w:val="21"/>
                <w:szCs w:val="21"/>
                <w14:textFill>
                  <w14:solidFill>
                    <w14:schemeClr w14:val="tx1"/>
                  </w14:solidFill>
                </w14:textFill>
              </w:rPr>
              <w:t>重点实施贵州初好刺梨饮料加工</w:t>
            </w:r>
            <w:r>
              <w:rPr>
                <w:rFonts w:hint="eastAsia" w:ascii="楷体_GB2312" w:eastAsia="楷体_GB2312"/>
                <w:sz w:val="21"/>
                <w:szCs w:val="21"/>
              </w:rPr>
              <w:t>、水城区刺梨“千斤园”项目、水城区玉舍镇前进村刺梨产业科技示范基地建设项目、水城区刺梨果园运输和采摘通道建设项目、水城区刺梨产业水肥一体化灌溉项目、水城区刺梨产业病虫害防治项目、水城区农特产品仓储物流中心、水城区6万吨刺梨原浆存储库、水城区刺梨初加工厂项目、水城区刺梨精深加工和副食品项目、水城区有机肥加工厂项目、水城区刺梨营养保健食品加工项目、六盘水刺梨康养产业工程技术研究中心、水城区梨产业研究所项目、贵州初好农特产品综合分析检验检测中心项目、水城区刺梨质量安全溯源体系建设项目、水城区前进村刺梨产业农旅一体化项目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食用菌提升工程</w:t>
            </w:r>
          </w:p>
          <w:p>
            <w:pPr>
              <w:keepLines/>
              <w:spacing w:line="280" w:lineRule="exact"/>
              <w:ind w:firstLine="420"/>
              <w:rPr>
                <w:rFonts w:ascii="楷体_GB2312" w:eastAsia="楷体_GB2312"/>
                <w:b/>
                <w:bCs/>
                <w:sz w:val="21"/>
                <w:szCs w:val="21"/>
              </w:rPr>
            </w:pPr>
            <w:r>
              <w:rPr>
                <w:rFonts w:hint="eastAsia" w:ascii="楷体_GB2312" w:eastAsia="楷体_GB2312"/>
                <w:sz w:val="21"/>
                <w:szCs w:val="21"/>
              </w:rPr>
              <w:t>重点实施水城康群缘食用菌初精深加工工厂、水城食用菌原材料生产基地、水城菌种场灭菌车间扩建、水城菌种场改扩建、食用菌综合开发种植、水城食用菌初精深加工工厂建设、水城菌种场恒温养菌室扩建、水城区食用菌初深加工厂、野玉海林下食用菌教研基地等项目建设。推进水城康群缘生物科技公司生产基地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茶叶提升工程</w:t>
            </w:r>
          </w:p>
          <w:p>
            <w:pPr>
              <w:keepLines/>
              <w:spacing w:line="280" w:lineRule="exact"/>
              <w:ind w:firstLine="420"/>
              <w:rPr>
                <w:rFonts w:ascii="楷体_GB2312" w:eastAsia="楷体_GB2312"/>
                <w:b/>
                <w:bCs/>
                <w:sz w:val="21"/>
                <w:szCs w:val="21"/>
              </w:rPr>
            </w:pPr>
            <w:r>
              <w:rPr>
                <w:rFonts w:hint="eastAsia" w:ascii="楷体_GB2312" w:eastAsia="楷体_GB2312"/>
                <w:sz w:val="21"/>
                <w:szCs w:val="21"/>
              </w:rPr>
              <w:t>重点实施“水城春”茶叶精深加工、水城古茶树茶叶精深加工、水城茶叶种植标准化、水城茶叶基地管护水平提档升级、水城碾茶生产加工、水城大宗茶生产加工、水城出口茶初制加工、水城茶叶精制加工、“水城春”品牌建设、水城茶产业全利用开发、水城特色茶叶种植、南部园区核心区茶旅一体化建设等项目建设。推进2000亩古树茶基础设施建设和保护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keepLines/>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精品水果提升工程</w:t>
            </w:r>
          </w:p>
          <w:p>
            <w:pPr>
              <w:keepLines/>
              <w:spacing w:line="280" w:lineRule="exact"/>
              <w:ind w:firstLine="420"/>
              <w:rPr>
                <w:rFonts w:ascii="楷体_GB2312" w:eastAsia="楷体_GB2312"/>
                <w:b/>
                <w:bCs/>
                <w:sz w:val="21"/>
                <w:szCs w:val="21"/>
              </w:rPr>
            </w:pPr>
            <w:r>
              <w:rPr>
                <w:rFonts w:hint="eastAsia" w:ascii="楷体_GB2312" w:eastAsia="楷体_GB2312"/>
                <w:sz w:val="21"/>
                <w:szCs w:val="21"/>
              </w:rPr>
              <w:t>推进水城蜂糖李、红心柚、樱桃、西梅等种植项目；建成水城柠檬桔新品种试验示范基地、水城精品水果提质增效项目等项目建设。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52" w:type="dxa"/>
          </w:tcPr>
          <w:p>
            <w:pPr>
              <w:pStyle w:val="2"/>
              <w:spacing w:line="260" w:lineRule="exact"/>
              <w:rPr>
                <w:rFonts w:ascii="楷体_GB2312" w:eastAsia="楷体_GB2312"/>
              </w:rPr>
            </w:pPr>
            <w:r>
              <w:rPr>
                <w:rFonts w:hint="eastAsia" w:ascii="楷体_GB2312" w:eastAsia="楷体_GB2312"/>
                <w:b/>
                <w:bCs/>
              </w:rPr>
              <w:t>0</w:t>
            </w:r>
            <w:r>
              <w:rPr>
                <w:rFonts w:ascii="楷体_GB2312" w:eastAsia="楷体_GB2312"/>
                <w:b/>
                <w:bCs/>
              </w:rPr>
              <w:t xml:space="preserve">7 </w:t>
            </w:r>
            <w:r>
              <w:rPr>
                <w:rFonts w:hint="eastAsia" w:ascii="楷体_GB2312" w:eastAsia="楷体_GB2312"/>
                <w:b/>
                <w:bCs/>
              </w:rPr>
              <w:t>林下经济建设</w:t>
            </w:r>
          </w:p>
          <w:p>
            <w:pPr>
              <w:pStyle w:val="2"/>
              <w:spacing w:line="260" w:lineRule="exact"/>
              <w:ind w:firstLine="420" w:firstLineChars="200"/>
              <w:rPr>
                <w:rFonts w:eastAsiaTheme="minorEastAsia"/>
              </w:rPr>
            </w:pPr>
            <w:r>
              <w:rPr>
                <w:rFonts w:hint="eastAsia" w:ascii="楷体_GB2312" w:eastAsia="楷体_GB2312"/>
              </w:rPr>
              <w:t>重点实施水城中药材初加工项目建设、推进林下种养殖项目。</w:t>
            </w:r>
          </w:p>
        </w:tc>
      </w:tr>
    </w:tbl>
    <w:p>
      <w:pPr>
        <w:pStyle w:val="6"/>
        <w:spacing w:before="222"/>
      </w:pPr>
      <w:bookmarkStart w:id="39" w:name="_Toc63250062"/>
      <w:r>
        <w:rPr>
          <w:rFonts w:hint="eastAsia"/>
        </w:rPr>
        <w:t>第十四章 提升农业质量效益和竞争力</w:t>
      </w:r>
      <w:bookmarkEnd w:id="39"/>
    </w:p>
    <w:p>
      <w:pPr>
        <w:ind w:firstLine="640"/>
      </w:pPr>
      <w:r>
        <w:rPr>
          <w:rFonts w:hint="eastAsia"/>
        </w:rPr>
        <w:t>持续规范提升、加快培育壮大一批新型农业经营主体，健全农业专业化社会化服务体系。创新发展模式，加快培育发展农村电子商务、智慧农业等农村新产业新业态，拓展农业多种功能。</w:t>
      </w:r>
    </w:p>
    <w:p>
      <w:pPr>
        <w:spacing w:before="60" w:line="570" w:lineRule="exact"/>
        <w:ind w:firstLine="0" w:firstLineChars="0"/>
        <w:jc w:val="center"/>
        <w:rPr>
          <w:b/>
          <w:bCs/>
        </w:rPr>
      </w:pPr>
      <w:r>
        <w:rPr>
          <w:rFonts w:hint="eastAsia"/>
          <w:b/>
          <w:bCs/>
        </w:rPr>
        <w:t>第一节</w:t>
      </w:r>
      <w:bookmarkStart w:id="40" w:name="_Hlk56328236"/>
      <w:r>
        <w:rPr>
          <w:rFonts w:hint="eastAsia"/>
          <w:b/>
          <w:bCs/>
        </w:rPr>
        <w:t xml:space="preserve"> 推进农业基础设施建设</w:t>
      </w:r>
    </w:p>
    <w:p>
      <w:pPr>
        <w:ind w:firstLine="640"/>
      </w:pPr>
      <w:r>
        <w:rPr>
          <w:rFonts w:hint="eastAsia"/>
        </w:rPr>
        <w:t>实施现代山地特色农业基础设施改造提升工程，着力破解耕地“高、少、碎、瘦”的问题，推进</w:t>
      </w:r>
      <w:r>
        <w:t>高标准农田提、改、扩、建工作</w:t>
      </w:r>
      <w:r>
        <w:rPr>
          <w:rFonts w:hint="eastAsia"/>
        </w:rPr>
        <w:t>。</w:t>
      </w:r>
      <w:r>
        <w:t>加大耕地整治力度，持续提升耕地质量和产出水平，将中低质量的耕地纳入高标准农田建设范围，实施提质改造</w:t>
      </w:r>
      <w:r>
        <w:rPr>
          <w:rFonts w:hint="eastAsia"/>
        </w:rPr>
        <w:t>。</w:t>
      </w:r>
      <w:r>
        <w:t>因地制宜实行免耕少耕、深松浅翻、轮作休耕等保护性耕作制度，实现用地与养地结合，实施测土配方施肥，有效提高耕地产能，监督农村土地流转的受让方履行土壤保护的责任，避免因过度施肥、滥用农药等造成土壤环境质量下降。加快完善农业产业重点区域和</w:t>
      </w:r>
      <w:r>
        <w:rPr>
          <w:rFonts w:hint="eastAsia"/>
        </w:rPr>
        <w:t>重点基地路网，实现机耕道与乡村公路衔接连通。大力推进以高效节水灌溉技术的自动化、信息化和农田水利“建、管、养、用”一体化为主的现代农业水利建设，因地制宜建设农田管网灌溉设施，耕地有效灌溉率达到</w:t>
      </w:r>
      <w:r>
        <w:t>55%。加强农产品产地分拣包装、预冷储藏、初加工等配套设施建设，统筹用好现有冷链仓储设施，加快构建农产品冷链仓储物流体系。</w:t>
      </w:r>
    </w:p>
    <w:p>
      <w:pPr>
        <w:spacing w:before="60" w:line="570" w:lineRule="exact"/>
        <w:ind w:firstLine="0" w:firstLineChars="0"/>
        <w:jc w:val="center"/>
        <w:rPr>
          <w:b/>
          <w:bCs/>
        </w:rPr>
      </w:pPr>
      <w:r>
        <w:rPr>
          <w:rFonts w:hint="eastAsia"/>
          <w:b/>
          <w:bCs/>
        </w:rPr>
        <w:t>第二节 构建农业科技支撑体系</w:t>
      </w:r>
    </w:p>
    <w:p>
      <w:pPr>
        <w:ind w:firstLine="640"/>
      </w:pPr>
      <w:r>
        <w:rPr>
          <w:rFonts w:hint="eastAsia"/>
        </w:rPr>
        <w:t>加强农业科技创新、技术引进和成果推广应用，健全现代农业技术服务体系，提高科技对现代农业的贡献率。推进智慧农业建设，落实创新驱动农业发展战略，依托水城经开区农特产品产业链网络交易平台和水城大数据</w:t>
      </w:r>
      <w:r>
        <w:t>+农业云</w:t>
      </w:r>
      <w:r>
        <w:rPr>
          <w:rFonts w:hint="eastAsia"/>
        </w:rPr>
        <w:t>平台建设，探索建设猕猴桃种植智能化浇灌系统，有效推进农业智慧化、精明化、创新化发展。积极培育（申报）农业高新技术企业。加快推进生态农业，打造一批农业亮点工程，重点推进小黄姜加工厂、刺梨原浆库、农业产业水肥一体化、中药材有机肥厂等项目，打通生产</w:t>
      </w:r>
      <w:r>
        <w:t>-加工-销售瓶颈。</w:t>
      </w:r>
      <w:r>
        <w:rPr>
          <w:rFonts w:hint="eastAsia"/>
        </w:rPr>
        <w:t>健全农业科技推广关系，完善科技特派员制度。</w:t>
      </w:r>
    </w:p>
    <w:p>
      <w:pPr>
        <w:spacing w:before="60" w:line="570" w:lineRule="exact"/>
        <w:ind w:firstLine="0" w:firstLineChars="0"/>
        <w:jc w:val="center"/>
        <w:rPr>
          <w:b/>
          <w:bCs/>
        </w:rPr>
      </w:pPr>
      <w:r>
        <w:rPr>
          <w:rFonts w:hint="eastAsia"/>
          <w:b/>
          <w:bCs/>
        </w:rPr>
        <w:t>第三节 培育提升农产品品牌</w:t>
      </w:r>
    </w:p>
    <w:p>
      <w:pPr>
        <w:ind w:firstLine="640"/>
      </w:pPr>
      <w:r>
        <w:rPr>
          <w:rFonts w:hint="eastAsia"/>
        </w:rPr>
        <w:t>实施品牌强农工程，积极打造中国特色农产品优势区，</w:t>
      </w:r>
      <w:r>
        <w:t>以 “水城春”、“初好”</w:t>
      </w:r>
      <w:r>
        <w:rPr>
          <w:rFonts w:hint="eastAsia"/>
        </w:rPr>
        <w:t>、</w:t>
      </w:r>
      <w:r>
        <w:t>“青龙春”、“黔宏”、“姜太公”、“永恒 YONGFENG”、“满全”等品牌农产品为依托，着力加强品牌保护与</w:t>
      </w:r>
      <w:r>
        <w:rPr>
          <w:rFonts w:hint="eastAsia"/>
        </w:rPr>
        <w:t>建设，</w:t>
      </w:r>
      <w:r>
        <w:t>完善政府品牌建设激励机制，营</w:t>
      </w:r>
      <w:r>
        <w:rPr>
          <w:rFonts w:hint="eastAsia"/>
        </w:rPr>
        <w:t>造品牌建设环境，</w:t>
      </w:r>
      <w:r>
        <w:t>着力打造一批具有市场影响力的农产品品</w:t>
      </w:r>
      <w:r>
        <w:rPr>
          <w:rFonts w:hint="eastAsia"/>
        </w:rPr>
        <w:t>牌。</w:t>
      </w:r>
      <w:r>
        <w:t>积极搭建展示展销平台，加强水城农产品品牌宣传推介，大力提升水城农产品品牌影响力和带动力。</w:t>
      </w:r>
      <w:r>
        <w:rPr>
          <w:rFonts w:hint="eastAsia"/>
        </w:rPr>
        <w:t>积极开展“三品一标”产品认证，强化从育苗、种植、验收、加工、出口为一体的标准化生产，加快提升“三品一标”产品比重</w:t>
      </w:r>
      <w:r>
        <w:t>。</w:t>
      </w:r>
      <w:r>
        <w:rPr>
          <w:rFonts w:hint="eastAsia"/>
        </w:rPr>
        <w:t>绿色食品认证</w:t>
      </w:r>
      <w:r>
        <w:t>10个，</w:t>
      </w:r>
      <w:r>
        <w:rPr>
          <w:rFonts w:hint="eastAsia"/>
        </w:rPr>
        <w:t>有机产品认证证书</w:t>
      </w:r>
      <w:r>
        <w:t>5张，有机转换认证证书10张，申报国家地理标志保护产品3个。</w:t>
      </w:r>
    </w:p>
    <w:p>
      <w:pPr>
        <w:spacing w:before="60" w:line="570" w:lineRule="exact"/>
        <w:ind w:firstLine="0" w:firstLineChars="0"/>
        <w:jc w:val="center"/>
        <w:rPr>
          <w:b/>
          <w:bCs/>
        </w:rPr>
      </w:pPr>
      <w:r>
        <w:rPr>
          <w:rFonts w:hint="eastAsia"/>
          <w:b/>
          <w:bCs/>
        </w:rPr>
        <w:t>第四节 强化农业发展要素支撑</w:t>
      </w:r>
    </w:p>
    <w:p>
      <w:pPr>
        <w:ind w:firstLine="640"/>
      </w:pPr>
      <w:r>
        <w:rPr>
          <w:rFonts w:hint="eastAsia"/>
        </w:rPr>
        <w:t>强化资金支持、科技服务、农业设施等保障，推动农业质量和效益全面提升。强化涉农资金统筹整合，探索创新融资模式，提高农业保险保障水平。加强农业科技创新和成果应用推广，加大良种良法、精深加工等关键技术攻关。健全动物防疫和农作物病虫害防治体系。提高农业装备现代化、机械化水平。加强现代农业设施建设，抓好机耕道、高标准农田等项目实施。强化气象设施和服务体系建设，提升防灾减灾保障水平。加强农业投入品和农产品质量监管，严控除草剂使用，确保农产品质量安全。</w:t>
      </w:r>
    </w:p>
    <w:p>
      <w:pPr>
        <w:spacing w:before="60" w:line="570" w:lineRule="exact"/>
        <w:ind w:firstLine="0" w:firstLineChars="0"/>
        <w:jc w:val="center"/>
        <w:rPr>
          <w:b/>
          <w:bCs/>
        </w:rPr>
      </w:pPr>
      <w:r>
        <w:rPr>
          <w:rFonts w:hint="eastAsia"/>
          <w:b/>
          <w:bCs/>
        </w:rPr>
        <w:t>第五节</w:t>
      </w:r>
      <w:r>
        <w:rPr>
          <w:b/>
          <w:bCs/>
        </w:rPr>
        <w:t xml:space="preserve"> </w:t>
      </w:r>
      <w:r>
        <w:rPr>
          <w:rFonts w:hint="eastAsia"/>
          <w:b/>
          <w:bCs/>
        </w:rPr>
        <w:t>提升农产品加工业</w:t>
      </w:r>
    </w:p>
    <w:p>
      <w:pPr>
        <w:spacing w:after="120"/>
        <w:ind w:firstLine="640"/>
      </w:pPr>
      <w:r>
        <w:rPr>
          <w:rFonts w:hint="eastAsia"/>
        </w:rPr>
        <w:t>大力发展以食用菌、水城现代化畜禽屠宰等为重点的生态特色农产品加工业，推进水城食用菌初精深加工工厂建设、水城食用菌原材料生产基地、水城碾茶生产加工、水城大宗茶生产加工、水城出口茶初制加工、水城茶叶精制加工、水城古茶树茶叶生产加工、水城刺梨鲜果深加工、贵州初好刺梨饮料加工、水城中心屠宰场、水城康群缘生物科技公司生产基地、水城区刺梨有机肥加工厂项目、水城区蛋粉加工厂建设项目、水城区蛋品包装建设项目、水城区温氏养猪饲料厂等项目建设。提高农产品加工转化率，不断推动农产品加工产业向精品化、特色化、创新化发展。挖掘水城龙场红色文化，打造做强龙场酒品牌，贵州初好富锶矿泉水厂建设。依托水城经开区食品药品加工贸易园，以尖山街道为中心，谋划打造食品加工产业园，重点加工肉类、菌类、刺梨、蛋粉、辣椒等农产品。</w:t>
      </w:r>
    </w:p>
    <w:p>
      <w:pPr>
        <w:pStyle w:val="2"/>
        <w:rPr>
          <w:rFonts w:eastAsiaTheme="minorEastAsia"/>
        </w:rPr>
      </w:pPr>
    </w:p>
    <w:p>
      <w:pPr>
        <w:pStyle w:val="4"/>
      </w:pPr>
    </w:p>
    <w:p>
      <w:pPr>
        <w:pStyle w:val="4"/>
      </w:pPr>
    </w:p>
    <w:p>
      <w:pPr>
        <w:pStyle w:val="4"/>
      </w:pPr>
    </w:p>
    <w:p>
      <w:pPr>
        <w:pStyle w:val="4"/>
      </w:pPr>
    </w:p>
    <w:p>
      <w:pPr>
        <w:pStyle w:val="4"/>
      </w:pPr>
    </w:p>
    <w:p>
      <w:pPr>
        <w:pStyle w:val="4"/>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 xml:space="preserve">13 </w:t>
            </w:r>
            <w:r>
              <w:rPr>
                <w:rFonts w:hint="eastAsia" w:ascii="楷体" w:hAnsi="楷体" w:eastAsia="楷体"/>
                <w:sz w:val="26"/>
                <w:szCs w:val="26"/>
              </w:rPr>
              <w:t>农业质量效益双提升重点项目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6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农业产业提质增效</w:t>
            </w:r>
          </w:p>
          <w:p>
            <w:pPr>
              <w:spacing w:before="60" w:line="260" w:lineRule="exact"/>
              <w:ind w:firstLine="420"/>
              <w:rPr>
                <w:rFonts w:ascii="楷体" w:hAnsi="楷体" w:eastAsia="楷体"/>
                <w:sz w:val="26"/>
                <w:szCs w:val="26"/>
              </w:rPr>
            </w:pPr>
            <w:r>
              <w:rPr>
                <w:rFonts w:hint="eastAsia" w:ascii="楷体_GB2312" w:eastAsia="楷体_GB2312"/>
                <w:sz w:val="21"/>
                <w:szCs w:val="21"/>
              </w:rPr>
              <w:t>重点实施水城区温氏一体化养猪、水城菌种场改扩建、水城330万羽桃花蛋鸡养殖、水城10万亩猕猴桃提质增效、水城精品水果3万亩提质增效、水城8万亩高标准茶园提档升级、水城30万亩刺梨提质增效、水城3万群中蜂养殖、水城小黄姜提质增效、水城区南部园区15000亩高标准茶叶产业基地建设以及65000亩茶叶产业基地标准化建设、小黄姜高标准种植示范基地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智慧农业建设工程</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重点实施水城区猕猴桃物联网、水城食用菌物联网、水城猕猴桃果园智能节灌系统及机耕道等项目建设。推进水城大数据+农业云建设项目，覆盖茶叶基地8万亩、猕猴桃10万亩、刺梨10万亩。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农业基础设施建设</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20万亩高标准农田建设项目、水城猕猴桃高标准基地建设、水城米箩中型灌区续建配套设施与节水改造、水城茶园灌溉工程、水城畜禽交易中心、水城温氏一体化养猪二期养殖水电路讯等配套设施、水城猕猴桃病虫害综合防治、水城猕猴桃果园运输通道建设、水城猕猴桃果园节水灌溉、水城猕猴桃防冰雹网、水城初好刺梨仓储冷链物流中心、水城牲畜交易中心、水城区茶叶标准化基地、病虫害防治、运输通道、安全溯源体系、灌溉设施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952"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农产品加工业提升行动</w:t>
            </w:r>
          </w:p>
          <w:p>
            <w:pPr>
              <w:pStyle w:val="2"/>
              <w:spacing w:line="260" w:lineRule="exact"/>
              <w:ind w:firstLine="420" w:firstLineChars="200"/>
              <w:rPr>
                <w:rFonts w:eastAsiaTheme="minorEastAsia"/>
              </w:rPr>
            </w:pPr>
            <w:r>
              <w:rPr>
                <w:rFonts w:hint="eastAsia" w:ascii="楷体_GB2312" w:eastAsia="楷体_GB2312"/>
              </w:rPr>
              <w:t>重点实施水城农业产业水肥一体化项目、水城区有机肥加工厂、水城经开区食品药品加工贸易园、水城区蛋粉加工厂、水城区蛋品包装、水城猕猴桃产业花粉厂、水城猪肉加工厂、水城泡沫箱塑料筐厂、包装厂等项目建设。重点实施水城姜道缘农业开发有限公司生姜干片及系列产品加工、水城白马洞富锶水生产、水城区贵州初好富锶矿泉水厂、水城天上荷泉1.5万吨技改、满全苦荞系列食品加工、水城兴龙精淀粉有限公司年产500吨马铃薯原薯制品技改等项目建设。</w:t>
            </w:r>
          </w:p>
        </w:tc>
      </w:tr>
      <w:bookmarkEnd w:id="40"/>
    </w:tbl>
    <w:p>
      <w:pPr>
        <w:pStyle w:val="6"/>
        <w:spacing w:before="222"/>
      </w:pPr>
      <w:bookmarkStart w:id="41" w:name="_Toc63250063"/>
      <w:r>
        <w:rPr>
          <w:rFonts w:hint="eastAsia"/>
        </w:rPr>
        <w:t>第十五章 推动农村一二三产业融合发展</w:t>
      </w:r>
      <w:bookmarkEnd w:id="41"/>
    </w:p>
    <w:p>
      <w:pPr>
        <w:ind w:firstLine="640"/>
      </w:pPr>
      <w:r>
        <w:rPr>
          <w:rFonts w:hint="eastAsia"/>
        </w:rPr>
        <w:t>坚持以市场为主导，推动流通和营销全面发力，以具有地方特色和市场前景的无公害、绿色、有机农产品为发展方向，推动农业与工业深度融合，大力发展特色农产品加工业</w:t>
      </w:r>
      <w:r>
        <w:t>。</w:t>
      </w:r>
      <w:bookmarkStart w:id="42" w:name="_Hlk51063549"/>
      <w:r>
        <w:rPr>
          <w:rFonts w:hint="eastAsia"/>
        </w:rPr>
        <w:t>丰富乡村经济业态，推动农业与文化、旅游、教育、体育、卫生健康、商务等深度融合，推进全产业链、全供应链、全价值链建设。</w:t>
      </w:r>
    </w:p>
    <w:p>
      <w:pPr>
        <w:spacing w:line="570" w:lineRule="exact"/>
        <w:ind w:firstLine="0" w:firstLineChars="0"/>
        <w:jc w:val="center"/>
      </w:pPr>
      <w:r>
        <w:rPr>
          <w:rFonts w:hint="eastAsia"/>
          <w:b/>
          <w:bCs/>
        </w:rPr>
        <w:t>第一节 加强农村一二产融合发展</w:t>
      </w:r>
      <w:bookmarkEnd w:id="42"/>
    </w:p>
    <w:p>
      <w:pPr>
        <w:ind w:firstLine="640"/>
      </w:pPr>
      <w:r>
        <w:rPr>
          <w:rFonts w:hint="eastAsia"/>
        </w:rPr>
        <w:t>大力发展特色农产品加工、绿色食品制造，提高农产品就地加工转化率和精深加工比重，到</w:t>
      </w:r>
      <w:r>
        <w:t>2025年，实现刺梨、猕猴桃、茶叶、精品水果等农产品加工产值达到20亿元以上，生猪、牛羊、家禽等屠宰加工产值达到30亿元以上。</w:t>
      </w:r>
      <w:r>
        <w:rPr>
          <w:rFonts w:hint="eastAsia"/>
        </w:rPr>
        <w:t>以农业产业园区为平台，积极引导农产品加工产能向现代农业产业园区聚集，加快引进、培育发展一批农产品加工龙头企业，鼓励企业向前、后端延伸产业链，统筹推进初加工、精深加工、综合利用加工协调发展，建设农产品精深加工示范基地。</w:t>
      </w:r>
    </w:p>
    <w:p>
      <w:pPr>
        <w:spacing w:line="570" w:lineRule="exact"/>
        <w:ind w:firstLine="0" w:firstLineChars="0"/>
        <w:jc w:val="center"/>
      </w:pPr>
      <w:r>
        <w:rPr>
          <w:rFonts w:hint="eastAsia"/>
          <w:b/>
          <w:bCs/>
        </w:rPr>
        <w:t>第二节 加强农村一三产融合发展</w:t>
      </w:r>
    </w:p>
    <w:p>
      <w:pPr>
        <w:ind w:firstLine="640"/>
      </w:pPr>
      <w:r>
        <w:rPr>
          <w:rFonts w:hint="eastAsia"/>
        </w:rPr>
        <w:t>科学规划建设城乡商贸流通网络，加强乡村商业网点和农产品批发市场建设。支持农民合作社、供销合作社、龙头企业参与产地分拣包装、冷藏保鲜、初加工等设施建设。鼓励各类服务主体把服务网点延伸到农村社区，实现乡村服务网点全覆盖。支持农产品批发市场、产地市场升级改造，打造县、乡、村三级现代农产品流通服务网络。深化农产品产销对接，培育壮大流通型龙头企业、农村经纪人队伍、农村电商三大销售主力，提高农产品流通效益。健全农产品产地营销体系，推广农超、农社（区）、农企、农校等形式的产销对接，鼓励新型农业经营主体在城乡社区设立鲜活农产品直销网点。大力发展休闲农业和乡村旅游，打造农业公园、农业庄园和田园综合体，推动农旅深度融合发展，促进乡村旅游提质升级。</w:t>
      </w:r>
    </w:p>
    <w:p>
      <w:pPr>
        <w:spacing w:line="570" w:lineRule="exact"/>
        <w:ind w:firstLine="0" w:firstLineChars="0"/>
        <w:jc w:val="center"/>
        <w:rPr>
          <w:b/>
          <w:bCs/>
        </w:rPr>
      </w:pPr>
      <w:r>
        <w:rPr>
          <w:rFonts w:hint="eastAsia"/>
          <w:b/>
          <w:bCs/>
        </w:rPr>
        <w:t>第三节 推进建立多形式利益联结机制</w:t>
      </w:r>
    </w:p>
    <w:p>
      <w:pPr>
        <w:spacing w:after="120"/>
        <w:ind w:firstLine="640"/>
      </w:pPr>
      <w:r>
        <w:rPr>
          <w:rFonts w:hint="eastAsia"/>
        </w:rPr>
        <w:t>持续深化“三变”改革，推进农业特色化、品牌化、标准化、规模化、机械化、智能化及全产业链发展方式。以农业产业园为平台，集聚资源要素，做精做大乡村特色产业，提升农产品加工业，推进农产品加工多元化、园区化发展，优化乡村服务业，打造创新创业升级版。建设标准种植基地，鼓励土地流转和合作社化种植，按照“种</w:t>
      </w:r>
      <w:r>
        <w:t>-销-加工-采摘旅游-N”链条，进行补链、强链、延链，打通农业新发展之路。将贵州初好农业科技开发有限公司、水城区林务投资有限责任公司、</w:t>
      </w:r>
      <w:r>
        <w:rPr>
          <w:rFonts w:hint="eastAsia"/>
        </w:rPr>
        <w:t>贵州凉都水城春茶叶股份有限公司打造成引领农业产业发展的“龙头”</w:t>
      </w:r>
      <w:r>
        <w:t>，鼓励龙头企业与农户、家庭农场</w:t>
      </w:r>
      <w:r>
        <w:rPr>
          <w:rFonts w:hint="eastAsia"/>
        </w:rPr>
        <w:t>、农民合作社签订购销合同、提供贷款担保、资助农户参加农业保险，构建以龙头企业为核心的新型经营主体带动专业大户和普通农户的联农带农机制。鼓励农产品加工企业通过股份制、股份合作制、合作制等方式，优化资源配置，合理利益分配，与上下游各类市场主体组建产业联盟，让农户分享产业链增值收益。建立完善科学的市场营销体系，构建市场营销队伍，做强市场竞争力。</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14</w:t>
            </w:r>
            <w:r>
              <w:rPr>
                <w:rFonts w:hint="eastAsia" w:ascii="楷体" w:hAnsi="楷体" w:eastAsia="楷体"/>
                <w:sz w:val="26"/>
                <w:szCs w:val="26"/>
              </w:rPr>
              <w:t xml:space="preserve"> 农业产业融合发展重点项目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before="60" w:line="260" w:lineRule="exact"/>
              <w:ind w:firstLine="0" w:firstLineChars="0"/>
              <w:jc w:val="left"/>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现代农业产业园区建设</w:t>
            </w:r>
          </w:p>
          <w:p>
            <w:pPr>
              <w:spacing w:line="260" w:lineRule="exact"/>
              <w:ind w:firstLine="420"/>
              <w:jc w:val="left"/>
              <w:rPr>
                <w:rFonts w:ascii="楷体" w:hAnsi="楷体" w:eastAsia="楷体"/>
                <w:sz w:val="26"/>
                <w:szCs w:val="26"/>
              </w:rPr>
            </w:pPr>
            <w:r>
              <w:rPr>
                <w:rFonts w:hint="eastAsia" w:ascii="楷体_GB2312" w:eastAsia="楷体_GB2312"/>
                <w:sz w:val="21"/>
                <w:szCs w:val="21"/>
              </w:rPr>
              <w:t>重点实施水城国家级现代农业产业园建设（包括巩固提升猕猴桃基地10万亩、建设高标准猕猴桃基地3万亩、猕猴桃精深加工厂1座、冷链物流中心1座、保鲜库5座、选果生产线3条、病虫害防治及产品开发综合研究所1座、东部农特产品交易中心1处），水城刺梨生态种植综合开发项目（包括水城区刺梨“千斤园”项目、水城区玉舍镇前进村刺梨产业科技示范基地建设项目、水城区刺梨果园运输和采摘通道建设项目、水城区刺梨产业水肥一体化灌溉项目、水城区刺梨产业病虫害防治项目、水城区农特产品仓储物流中心、水城区6万吨刺梨原浆存储库、水城区刺梨初加工厂项目、水城区刺梨精深加工和副食品项目等），水城中药材培育基地建设（包括地方中药材种质资源库1个、中药材苗木组培中心1座、中药材综合加工厂1座、中药材研究所1座），水城春茶园综合体开发建设项目,水城春商业大道建设项目,水城春木城贡茶茶旅一体化项目，古茶文化园及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834"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农产品现代销售流通体系建设</w:t>
            </w:r>
          </w:p>
          <w:p>
            <w:pPr>
              <w:spacing w:line="280" w:lineRule="exact"/>
              <w:ind w:firstLine="420"/>
              <w:rPr>
                <w:sz w:val="28"/>
                <w:szCs w:val="28"/>
              </w:rPr>
            </w:pPr>
            <w:r>
              <w:rPr>
                <w:rFonts w:hint="eastAsia" w:ascii="楷体_GB2312" w:eastAsia="楷体_GB2312"/>
                <w:sz w:val="21"/>
                <w:szCs w:val="21"/>
              </w:rPr>
              <w:t>重点实施六盘水东城区农产品批发市场升级改造,六盘水东部农产品果蔬农贸市场建设，水城猕猴桃综合市场建设，重点乡镇猕猴桃产地冷链物流中心及基地冷库项目。</w:t>
            </w:r>
          </w:p>
        </w:tc>
      </w:tr>
    </w:tbl>
    <w:p>
      <w:pPr>
        <w:pStyle w:val="6"/>
        <w:spacing w:before="222"/>
      </w:pPr>
      <w:bookmarkStart w:id="43" w:name="_Toc63250064"/>
      <w:r>
        <w:rPr>
          <w:rFonts w:hint="eastAsia"/>
        </w:rPr>
        <w:t>第十六章 建设生态宜居美丽乡村</w:t>
      </w:r>
      <w:bookmarkEnd w:id="43"/>
    </w:p>
    <w:p>
      <w:pPr>
        <w:ind w:firstLine="640"/>
      </w:pPr>
      <w:r>
        <w:rPr>
          <w:rFonts w:hint="eastAsia"/>
        </w:rPr>
        <w:t>按照产业兴旺、生态宜居、乡风文明、治理有效、生活富裕的总要求，以美丽乡村建设为抓手，全面推进乡村振兴战略，增强农村宜居性。加强村庄规划</w:t>
      </w:r>
      <w:r>
        <w:t>建设，保障农村发展和村民建房合理用地需求，严格农房建设管理，依法依规开展农村乱占耕地建房问题整治，切实保护好农村耕地红线，保持好美丽乡土风貌。立足实际，分类推进传统村落、少数民族特色村寨的保护与发展，因地</w:t>
      </w:r>
      <w:r>
        <w:rPr>
          <w:rFonts w:hint="eastAsia"/>
        </w:rPr>
        <w:t>制宜打造一批美丽乡村。积极推进水城区打造省级乡村振兴示范县（市）。</w:t>
      </w:r>
    </w:p>
    <w:p>
      <w:pPr>
        <w:spacing w:line="570" w:lineRule="exact"/>
        <w:ind w:firstLine="0" w:firstLineChars="0"/>
        <w:jc w:val="center"/>
        <w:rPr>
          <w:b/>
          <w:bCs/>
        </w:rPr>
      </w:pPr>
      <w:r>
        <w:rPr>
          <w:rFonts w:hint="eastAsia"/>
          <w:b/>
          <w:bCs/>
        </w:rPr>
        <w:t>第一节 深入推进乡村人居环境建设</w:t>
      </w:r>
    </w:p>
    <w:p>
      <w:pPr>
        <w:ind w:firstLine="640"/>
      </w:pPr>
      <w:r>
        <w:rPr>
          <w:rFonts w:hint="eastAsia"/>
        </w:rPr>
        <w:t>加快农业农村基础设施和生态环境建设，实现生态宜居目标，按照“生态产业化、产业生态化”的思路，着力构建五谷丰登、六畜兴旺的绿色生态系统，建立健全农业农村新产业、新业态农业政策体系，引领实现产业兴旺目标。</w:t>
      </w:r>
    </w:p>
    <w:p>
      <w:pPr>
        <w:ind w:firstLine="640"/>
      </w:pPr>
      <w:r>
        <w:rPr>
          <w:rFonts w:hint="eastAsia"/>
        </w:rPr>
        <w:t>加快推进以基础设施和便民服务体系建设等为抓手的乡村振兴“十百千”示范工程升级版。加强村庄规划建设和风貌管控，打造一批乡村振兴示范点和重点乡村旅游示范点，建设一批“四园四美”美丽乡村，分类推进传统村落、少数民族特色村寨保护发展，保护和提升乡村风貌。推进乡村人居环境整治，扎实做好城乡供水一体化、农村饮用水水源保护、水质提升、集中供水点及入户管网建设。加强村镇绿化，建设小城镇公园，抓好乡村改厨、改圈、庭院硬化、河堤治理等，推广乡村节能路灯建设。广泛开展村庄清洁行动和绿化行动，深入推进农村“厕所革命”、生活垃圾处理和污水治理，建立健全村庄保洁体系。加强农村农贸市场标准化建设，加快数字农村信息基础设施建设步伐，切实提升新农村形象。保障农村发展和村民建房合理用地需求，严格农房建设管理，提升建设质量。健全党组织领导的自治、法治、德治、社会组织治理相结合的乡村治理体系。提高农民科技文化素质，推动乡村人才振兴、文化振兴。</w:t>
      </w:r>
    </w:p>
    <w:p>
      <w:pPr>
        <w:spacing w:line="570" w:lineRule="exact"/>
        <w:ind w:firstLine="0" w:firstLineChars="0"/>
        <w:jc w:val="center"/>
        <w:rPr>
          <w:b/>
          <w:bCs/>
        </w:rPr>
      </w:pPr>
      <w:r>
        <w:rPr>
          <w:rFonts w:hint="eastAsia"/>
          <w:b/>
          <w:bCs/>
        </w:rPr>
        <w:t>第二节 分类推进乡村发展</w:t>
      </w:r>
    </w:p>
    <w:p>
      <w:pPr>
        <w:ind w:firstLine="640"/>
      </w:pPr>
      <w:r>
        <w:rPr>
          <w:rFonts w:hint="eastAsia"/>
        </w:rPr>
        <w:t>根据不同村庄的发展现状、区位条件、资源禀赋等，按照集聚提升、融入城镇、特色保护、搬迁撤并的思路，分类推进乡村发展。</w:t>
      </w:r>
    </w:p>
    <w:p>
      <w:pPr>
        <w:ind w:firstLine="640"/>
      </w:pPr>
      <w:r>
        <w:rPr>
          <w:rFonts w:hint="eastAsia"/>
        </w:rPr>
        <w:t>做大中心村，规模较大的中心村和其他仍将存续的一般村庄作为乡村振兴的重点，在原有规模基础上有序推进改造提升，激活产业、优化环境、提振人气、增添活力，保护保留乡村风貌，建设宜居宜业宜游的美丽村庄，鼓励发挥自身比较优势，强化主导产业支撑，支持特色农业、旅游休闲、产业园区等特色化产业化村庄发展。边远自然村寨农户搬到中心村集中安置，有利于打造特色村寨，做到土地资源节约化。</w:t>
      </w:r>
    </w:p>
    <w:p>
      <w:pPr>
        <w:ind w:firstLine="640"/>
      </w:pPr>
      <w:r>
        <w:rPr>
          <w:rFonts w:hint="eastAsia"/>
        </w:rPr>
        <w:t>做强郊区村，城市郊区的村庄具备成为城市后花园的优势，综合考虑工业化、城镇化和村庄自身发展需要，加快城乡产业融合发展、基础设施互联互通、公共服务共建共享，在形态上保留乡村风貌，在产业上体现城市发展服务功能，重点发展都市农业、休闲农业等产业。</w:t>
      </w:r>
    </w:p>
    <w:p>
      <w:pPr>
        <w:spacing w:after="120"/>
        <w:ind w:firstLine="640"/>
      </w:pPr>
      <w:r>
        <w:rPr>
          <w:rFonts w:hint="eastAsia"/>
        </w:rPr>
        <w:t>做优特色村，传统村落、少数民族特色村寨、特色景观旅游名村等自然历史文化特色资源丰富的村庄，统一进行保护、利用与发展，努力保持村庄的完整性、真实性和延续性。</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6"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15 农村人居环境提升重点项目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726" w:type="dxa"/>
          </w:tcPr>
          <w:p>
            <w:pPr>
              <w:spacing w:line="280" w:lineRule="exact"/>
              <w:ind w:firstLine="422"/>
              <w:rPr>
                <w:rFonts w:ascii="楷体_GB2312" w:eastAsia="楷体_GB2312"/>
                <w:sz w:val="21"/>
                <w:szCs w:val="21"/>
              </w:rPr>
            </w:pPr>
            <w:r>
              <w:rPr>
                <w:rFonts w:hint="eastAsia" w:ascii="楷体_GB2312" w:eastAsia="楷体_GB2312"/>
                <w:b/>
                <w:bCs/>
                <w:sz w:val="21"/>
                <w:szCs w:val="21"/>
              </w:rPr>
              <w:t>重点实施乡村振兴“十百千”示范工程升级版</w:t>
            </w:r>
          </w:p>
          <w:p>
            <w:pPr>
              <w:spacing w:line="280" w:lineRule="exact"/>
              <w:ind w:firstLine="420"/>
              <w:rPr>
                <w:rFonts w:ascii="楷体_GB2312" w:eastAsia="楷体_GB2312"/>
                <w:sz w:val="21"/>
                <w:szCs w:val="21"/>
              </w:rPr>
            </w:pPr>
            <w:r>
              <w:rPr>
                <w:rFonts w:hint="eastAsia" w:ascii="楷体_GB2312" w:eastAsia="楷体_GB2312"/>
                <w:sz w:val="21"/>
                <w:szCs w:val="21"/>
              </w:rPr>
              <w:t>推进水城格支新农村建设示范项目、水城百车河乡村振兴示范园、水城乡村振兴人居环境整治、水城农村供水管网提升改造、水城农村供水水质提升、水城农村千人以上饮用水源地环境综合整治等项目建设。</w:t>
            </w:r>
          </w:p>
        </w:tc>
      </w:tr>
    </w:tbl>
    <w:p>
      <w:pPr>
        <w:pStyle w:val="5"/>
      </w:pPr>
      <w:r>
        <w:br w:type="page"/>
      </w:r>
      <w:bookmarkStart w:id="44" w:name="_Toc63250065"/>
      <w:r>
        <w:rPr>
          <w:rFonts w:hint="eastAsia"/>
        </w:rPr>
        <w:t>第六篇 深入实施旅游产业化，高质量推动现代服务业创新发展</w:t>
      </w:r>
      <w:bookmarkEnd w:id="44"/>
    </w:p>
    <w:p>
      <w:pPr>
        <w:ind w:firstLine="640"/>
      </w:pPr>
      <w:r>
        <w:rPr>
          <w:rFonts w:hint="eastAsia"/>
        </w:rPr>
        <w:t>以推动全域旅游高质量发展为主题，深化旅游供给侧结构性改革，以国际化理念引领旅游业发展，发挥比较优势，突出山地特色，丰富人文内涵，不断完善设施配套，积极谋划旅游项目，扩展市场营销，打造国际一流避暑度假和山地户外运动目的地，创建国家全域旅游示范区，推进</w:t>
      </w:r>
      <w:r>
        <w:rPr>
          <w:rFonts w:hint="eastAsia"/>
          <w:lang w:eastAsia="zh-CN"/>
        </w:rPr>
        <w:t>康养水城</w:t>
      </w:r>
      <w:r>
        <w:rPr>
          <w:rFonts w:hint="eastAsia"/>
        </w:rPr>
        <w:t>旅游强区建设。</w:t>
      </w:r>
    </w:p>
    <w:p>
      <w:pPr>
        <w:pStyle w:val="6"/>
        <w:spacing w:before="222" w:line="570" w:lineRule="exact"/>
      </w:pPr>
      <w:bookmarkStart w:id="45" w:name="_Toc63250066"/>
      <w:r>
        <w:rPr>
          <w:rFonts w:hint="eastAsia"/>
        </w:rPr>
        <w:t>第十七章 构建旅游发展新格局</w:t>
      </w:r>
      <w:bookmarkEnd w:id="45"/>
    </w:p>
    <w:p>
      <w:pPr>
        <w:ind w:firstLine="640"/>
        <w:rPr>
          <w:color w:val="000000" w:themeColor="text1"/>
          <w14:textFill>
            <w14:solidFill>
              <w14:schemeClr w14:val="tx1"/>
            </w14:solidFill>
          </w14:textFill>
        </w:rPr>
      </w:pPr>
      <w:r>
        <w:t>按</w:t>
      </w:r>
      <w:r>
        <w:rPr>
          <w:rFonts w:hint="eastAsia"/>
        </w:rPr>
        <w:t>照“全景式打造、全季节体验、全产业发展、全方位服务、全社会参与、全区域管理”的要求，整合旅游资源要素，打好以玉马路、水黄路、龙场</w:t>
      </w:r>
      <w:r>
        <w:t>-法德路为精品旅游路线，突出生态康养、户外运动、民族风情为主题的景区相互联动发展的组合拳，</w:t>
      </w:r>
      <w:r>
        <w:rPr>
          <w:rFonts w:hint="eastAsia"/>
        </w:rPr>
        <w:t>构建高质量发展的旅游发展格局和支撑体系。</w:t>
      </w:r>
      <w:r>
        <w:rPr>
          <w:rFonts w:hint="eastAsia"/>
          <w:color w:val="000000" w:themeColor="text1"/>
          <w14:textFill>
            <w14:solidFill>
              <w14:schemeClr w14:val="tx1"/>
            </w14:solidFill>
          </w14:textFill>
        </w:rPr>
        <w:t>到</w:t>
      </w:r>
      <w:r>
        <w:rPr>
          <w:color w:val="000000" w:themeColor="text1"/>
          <w14:textFill>
            <w14:solidFill>
              <w14:schemeClr w14:val="tx1"/>
            </w14:solidFill>
          </w14:textFill>
        </w:rPr>
        <w:t>2025年，实现</w:t>
      </w:r>
      <w:r>
        <w:rPr>
          <w:rFonts w:hint="eastAsia"/>
          <w:color w:val="000000" w:themeColor="text1"/>
          <w14:textFill>
            <w14:solidFill>
              <w14:schemeClr w14:val="tx1"/>
            </w14:solidFill>
          </w14:textFill>
        </w:rPr>
        <w:t>旅游综合收入88</w:t>
      </w:r>
      <w:r>
        <w:rPr>
          <w:color w:val="000000" w:themeColor="text1"/>
          <w14:textFill>
            <w14:solidFill>
              <w14:schemeClr w14:val="tx1"/>
            </w14:solidFill>
          </w14:textFill>
        </w:rPr>
        <w:t>亿元</w:t>
      </w:r>
      <w:r>
        <w:rPr>
          <w:rFonts w:hint="eastAsia"/>
          <w:color w:val="000000" w:themeColor="text1"/>
          <w14:textFill>
            <w14:solidFill>
              <w14:schemeClr w14:val="tx1"/>
            </w14:solidFill>
          </w14:textFill>
        </w:rPr>
        <w:t>，接待游客总数1300万人次。</w:t>
      </w:r>
    </w:p>
    <w:p>
      <w:pPr>
        <w:ind w:firstLine="0" w:firstLineChars="0"/>
        <w:jc w:val="center"/>
        <w:rPr>
          <w:b/>
          <w:bCs/>
        </w:rPr>
      </w:pPr>
      <w:r>
        <w:rPr>
          <w:rFonts w:hint="eastAsia"/>
          <w:b/>
          <w:bCs/>
        </w:rPr>
        <w:t>第一节 优化旅游空间布局</w:t>
      </w:r>
    </w:p>
    <w:p>
      <w:pPr>
        <w:ind w:firstLine="640"/>
      </w:pPr>
      <w:r>
        <w:rPr>
          <w:rFonts w:hint="eastAsia"/>
        </w:rPr>
        <w:t>综合考虑文脉、山脉、水脉、交通线路、产业发展基础和区域重大发展战略，以野玉海国家级旅游度假区、水城区国家现代农业产业园、百车河4</w:t>
      </w:r>
      <w:r>
        <w:t>A级旅游景区、乌蒙山国家地质公园、北盘江、玉马线农业产业带和六盘水东城区等为依托，构建水城全域旅游服务中心、北盘江峡谷生态旅游带、玉马线休闲度假带、野玉海</w:t>
      </w:r>
      <w:r>
        <w:rPr>
          <w:rFonts w:hint="eastAsia"/>
        </w:rPr>
        <w:t>山地</w:t>
      </w:r>
      <w:r>
        <w:t>旅游度假区、米箩现代农业旅游区、百车河温泉康养度假区、白族茶海</w:t>
      </w:r>
      <w:r>
        <w:rPr>
          <w:rFonts w:hint="eastAsia"/>
        </w:rPr>
        <w:t>养心</w:t>
      </w:r>
      <w:r>
        <w:t>养生区、水城农民画创意体验区，形成“一心两带五区”的空间结构，构筑“带串联、区聚辐”的全域化旅游生产力布局。</w:t>
      </w:r>
    </w:p>
    <w:p>
      <w:pPr>
        <w:ind w:firstLine="0" w:firstLineChars="0"/>
        <w:jc w:val="center"/>
        <w:rPr>
          <w:rFonts w:ascii="仿宋" w:hAnsi="仿宋" w:eastAsia="仿宋"/>
          <w:b/>
          <w:szCs w:val="32"/>
        </w:rPr>
      </w:pPr>
      <w:r>
        <w:rPr>
          <w:rFonts w:hint="eastAsia" w:ascii="仿宋" w:hAnsi="仿宋" w:eastAsia="仿宋"/>
          <w:b/>
          <w:szCs w:val="32"/>
        </w:rPr>
        <w:t>第二节 创建国家全域旅游示范区</w:t>
      </w:r>
    </w:p>
    <w:p>
      <w:pPr>
        <w:spacing w:line="580" w:lineRule="exact"/>
        <w:ind w:firstLine="640"/>
      </w:pPr>
      <w:r>
        <w:rPr>
          <w:rFonts w:hint="eastAsia"/>
        </w:rPr>
        <w:t>充分发挥生态资源优势，夯实“中国凉都·</w:t>
      </w:r>
      <w:r>
        <w:rPr>
          <w:rFonts w:hint="eastAsia"/>
          <w:lang w:eastAsia="zh-CN"/>
        </w:rPr>
        <w:t>康养水城</w:t>
      </w:r>
      <w:r>
        <w:rPr>
          <w:rFonts w:hint="eastAsia"/>
        </w:rPr>
        <w:t>”品牌，优先发展避暑休闲、温泉度假、健康养生等休闲度假旅游业态，大力发展生态旅游、山地户外运动、桥梁观光、极限体验、自驾游、研学旅游等山水旅游业态，积极开展民俗旅游、乡村旅游、工业遗产旅游、红色旅游、体育旅游等文化旅游业态，建立适应全域旅游发展的统筹协调、综合管理、行业自律等体制机制，显著提升现代旅游治理能力，确保“十四五”期间成功创建国家全域旅游示范区，推动旅游业高质量发展。</w:t>
      </w:r>
    </w:p>
    <w:p>
      <w:pPr>
        <w:spacing w:line="580" w:lineRule="exact"/>
        <w:ind w:firstLine="640"/>
      </w:pPr>
      <w:bookmarkStart w:id="46" w:name="_Toc62048158"/>
      <w:r>
        <w:rPr>
          <w:rFonts w:hint="eastAsia"/>
        </w:rPr>
        <w:t>加强旅游供给侧结构性改革，更加注重需求侧管理，以运营为先导，全面优化升级吃、住、行、游、购、娱等旅游产业要素供给，打造以度假区和景区为代表的多样化旅游吸引物体系，以精品酒店、度假型酒店、</w:t>
      </w:r>
      <w:r>
        <w:t>主题</w:t>
      </w:r>
      <w:r>
        <w:rPr>
          <w:rFonts w:hint="eastAsia"/>
        </w:rPr>
        <w:t>文化</w:t>
      </w:r>
      <w:r>
        <w:t>酒店</w:t>
      </w:r>
      <w:r>
        <w:rPr>
          <w:rFonts w:hint="eastAsia"/>
        </w:rPr>
        <w:t>、新型特色</w:t>
      </w:r>
      <w:r>
        <w:t>酒店</w:t>
      </w:r>
      <w:r>
        <w:rPr>
          <w:rFonts w:hint="eastAsia"/>
        </w:rPr>
        <w:t>、营地系列、民宿等为代表的旅游住宿体系，培育标准化、规范化、特色化旅游餐饮服务体系，形成高质量的旅游供给体系。</w:t>
      </w:r>
      <w:bookmarkEnd w:id="46"/>
      <w:r>
        <w:rPr>
          <w:rFonts w:hint="eastAsia"/>
        </w:rPr>
        <w:t>采取“分类发展，重点突破”策略，依托中心城区和有条件的旅游休闲度假区、景区，通过农文旅体融合，大力发展主题演艺、民俗文化娱乐、山地户外运动等现代娱乐业。培育一批文化旅游休闲街区，鼓励旅游商品创意创新，加强购物体验，重点扶持培育刺梨、猕猴桃、茶叶三大水城山珍、地方特色酿造、非遗文创等旅游商品系列，形成品牌多样、产品丰富的旅游商品体系。</w:t>
      </w:r>
    </w:p>
    <w:p>
      <w:pPr>
        <w:pStyle w:val="4"/>
      </w:pPr>
    </w:p>
    <w:p>
      <w:pPr>
        <w:pStyle w:val="4"/>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1</w:t>
            </w:r>
            <w:r>
              <w:rPr>
                <w:rFonts w:hint="eastAsia" w:ascii="楷体" w:hAnsi="楷体" w:eastAsia="楷体"/>
                <w:sz w:val="26"/>
                <w:szCs w:val="26"/>
              </w:rPr>
              <w:t>6 全域旅游发展重点项目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精品旅游景区项目</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重点实施水城野玉海景区改造提升、水城米箩猕猴桃布依风情小镇改造提升、水城米箩半方塘景区改造提升、水城南部园区白族风情小镇改造提升等项目建设。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全域旅游产品建设</w:t>
            </w:r>
          </w:p>
          <w:p>
            <w:pPr>
              <w:spacing w:line="280" w:lineRule="exact"/>
              <w:ind w:firstLine="420"/>
              <w:rPr>
                <w:rFonts w:ascii="楷体_GB2312" w:eastAsia="楷体_GB2312"/>
                <w:b/>
                <w:bCs/>
                <w:sz w:val="21"/>
                <w:szCs w:val="21"/>
              </w:rPr>
            </w:pPr>
            <w:r>
              <w:rPr>
                <w:rFonts w:hint="eastAsia" w:ascii="楷体_GB2312" w:hAnsi="仿宋" w:eastAsia="楷体_GB2312"/>
                <w:sz w:val="21"/>
                <w:szCs w:val="21"/>
              </w:rPr>
              <w:t>重点推进悠然山居乌蒙康养小镇和野玉海康养小镇、凉都未来世界、水城区农旅文化体验园及研学基地、贵州百车河文旅康养基地、北盘江天下第一高桥综合开发项目、水城旅游集散中心、水城野玉海拓展实践公寓、水城百车河康养综合体、米箩现代国家级农业园区文旅小镇等项目的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重点景区景点提升项目</w:t>
            </w:r>
          </w:p>
          <w:p>
            <w:pPr>
              <w:spacing w:line="280" w:lineRule="exact"/>
              <w:ind w:firstLine="420"/>
              <w:rPr>
                <w:rFonts w:ascii="楷体_GB2312" w:hAnsi="仿宋" w:eastAsia="楷体_GB2312"/>
                <w:b/>
                <w:bCs/>
                <w:sz w:val="21"/>
                <w:szCs w:val="21"/>
              </w:rPr>
            </w:pPr>
            <w:r>
              <w:rPr>
                <w:rFonts w:hint="eastAsia" w:ascii="楷体_GB2312" w:hAnsi="仿宋" w:eastAsia="楷体_GB2312"/>
                <w:sz w:val="21"/>
                <w:szCs w:val="21"/>
              </w:rPr>
              <w:t>重点实施北盘江爱国主义教育基地建设项目、百车河景区综合游乐场项目、百车河景区环湖生态旅游和水上游乐观光项目、水城区百车河景区大自然幼儿园建设项目、百车河景区热带植物（水果）园项目、水城区百车河景区接待中心、百车河水车文化博物园及水车文化研学基地、水城区百车河民宿群建设项目、水城区百车河景区夜游项目、北盘江高家渡码头跨江溜索、蹦极及水上攀岩建设项目、北盘江花戛游客集散中心项目、北盘江野钟游客集散中心项目、土司庄园提升改造工程、野玉海观光火车调度中心、帕斯谷火车站服务中心、滑雪小镇提升项目、林区康养步道提升改造工程、国家级旅游度假区人工景观和小品打造、森林公园珍珠瀑布园提升改造、海坪综合健身中心、野玉海景区帕斯谷至野鸡坪双轨（齿轨）建设项目、野玉海游乐园、野玉海数据、千户彝寨提升改造工程、玉舍森林公园夜郎谷冒险乐园项目、野玉海旅游产品孵化园、野玉海景区汽车露营基地建设项目、水城区半方塘水上乐园二期、天门秘境生态休闲度假区、铭镓养生园、龙场龙头山温泉度假小镇、多彩贵州茶博馆水城分馆建设、水城春游客接待中心建设项目、水城区旅游特色商品产业创作加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自然生态型旅游产业集聚区建设</w:t>
            </w:r>
          </w:p>
          <w:p>
            <w:pPr>
              <w:pStyle w:val="2"/>
              <w:spacing w:line="280" w:lineRule="exact"/>
              <w:ind w:firstLine="420" w:firstLineChars="200"/>
              <w:rPr>
                <w:rFonts w:eastAsiaTheme="minorEastAsia"/>
              </w:rPr>
            </w:pPr>
            <w:r>
              <w:rPr>
                <w:rFonts w:hint="eastAsia" w:ascii="楷体_GB2312" w:hAnsi="仿宋" w:eastAsia="楷体_GB2312"/>
              </w:rPr>
              <w:t>包括营盘乡旅游风景道公路项目、北盘江风景道、水城区乡村振兴民俗产业园、水城区生命起源博物馆、滴水岩生态产业园、补那村乡村旅游示范点、格支旅游景区。</w:t>
            </w:r>
          </w:p>
        </w:tc>
      </w:tr>
    </w:tbl>
    <w:p>
      <w:pPr>
        <w:spacing w:before="120"/>
        <w:ind w:firstLine="0" w:firstLineChars="0"/>
        <w:jc w:val="center"/>
        <w:rPr>
          <w:b/>
          <w:bCs/>
        </w:rPr>
      </w:pPr>
      <w:r>
        <w:rPr>
          <w:rFonts w:hint="eastAsia"/>
          <w:b/>
          <w:bCs/>
        </w:rPr>
        <w:t>第三节</w:t>
      </w:r>
      <w:r>
        <w:rPr>
          <w:b/>
          <w:bCs/>
        </w:rPr>
        <w:t xml:space="preserve"> 加快旅游基础设施，健全旅游公共服务体系</w:t>
      </w:r>
    </w:p>
    <w:p>
      <w:pPr>
        <w:spacing w:line="520" w:lineRule="exact"/>
        <w:ind w:firstLine="640"/>
      </w:pPr>
      <w:r>
        <w:rPr>
          <w:rFonts w:hint="eastAsia"/>
        </w:rPr>
        <w:t>抢抓“西部陆海新通道”战略机遇，着力推进旅游新型基础设施建设，建立以高速公路、航空、铁路为龙头，以水运为补充的现代综合交通运输体系。强化区域步道、骑行绿道等慢行系统建设，形成全域化快旅慢游体系。</w:t>
      </w:r>
    </w:p>
    <w:p>
      <w:pPr>
        <w:spacing w:line="520" w:lineRule="exact"/>
        <w:ind w:firstLine="640"/>
      </w:pPr>
      <w:r>
        <w:rPr>
          <w:rFonts w:hint="eastAsia"/>
        </w:rPr>
        <w:t>坚持“快旅慢游、接驳方便”原则，集旅游信息咨询、旅游休闲、餐饮购物、旅游投诉管理、安全救援等为一体，构建六盘水东城区、重点旅游节点乡镇和一般旅游节点城镇相结合的三级集散服务体系，形成辐射周边、四通八达的旅游集散网络体系。</w:t>
      </w:r>
    </w:p>
    <w:p>
      <w:pPr>
        <w:spacing w:line="520" w:lineRule="exact"/>
        <w:ind w:firstLine="640"/>
      </w:pPr>
      <w:r>
        <w:rPr>
          <w:rFonts w:hint="eastAsia"/>
        </w:rPr>
        <w:t>全力推进旅游厕所革命，确保全区旅游度假区和景区景点、旅游线路沿线、交通集散点、乡村旅游点、旅游餐馆、旅游娱乐场所、休闲步行区等建设满足游客需求，数量足够的旅游厕所，确保所有厕所布局合理、干净无味、实用免费、管理有效。推动所有交通沿线和临街、临景的企事业单位和乡村厕所免费向公众开放。到规划末期，全区新建和改造</w:t>
      </w:r>
      <w:r>
        <w:t xml:space="preserve">100座以上旅游厕所，实现度假区和3A级以上景区旅游公厕全覆盖，旅游厕所突破公共服务设施的局限，实现功能化和景观化的高度融合。 </w:t>
      </w:r>
    </w:p>
    <w:p>
      <w:pPr>
        <w:spacing w:after="60" w:line="540" w:lineRule="exact"/>
        <w:ind w:firstLine="640"/>
      </w:pPr>
      <w:r>
        <w:rPr>
          <w:rFonts w:hint="eastAsia"/>
        </w:rPr>
        <w:t>推进智慧旅游发展。加快推进中国凉都·</w:t>
      </w:r>
      <w:r>
        <w:rPr>
          <w:rFonts w:hint="eastAsia"/>
          <w:lang w:eastAsia="zh-CN"/>
        </w:rPr>
        <w:t>康养水城</w:t>
      </w:r>
      <w:r>
        <w:rPr>
          <w:rFonts w:hint="eastAsia"/>
        </w:rPr>
        <w:t>全域旅游智慧化系统项目建设，形成“城区</w:t>
      </w:r>
      <w:r>
        <w:t>-景区”专业化通信网络，保证旅游数据传输的安全可靠。与省、市智慧旅游平台协同对接，达到协同应急指挥调度和提升协同营销能力。完善游客集散中心智慧旅游基础设施建设，增强智慧化服务功能。通过各种现代化信息科技手段，满足游客导览、导航、导购等多方面旅游需求。加快旅游集散地、机场、车站、景区、宾馆饭店、特色乡村等全域涉旅场所无线网络覆盖和公共安全视频覆盖建设。结合支付终端、自助售卖、二维码识别智能设施、技术应用，实现刷卡无障碍支付，提供</w:t>
      </w:r>
      <w:r>
        <w:rPr>
          <w:rFonts w:hint="eastAsia"/>
        </w:rPr>
        <w:t>全域旅游电子地图。全面推进智慧旅游城区、智慧旅游景区和智慧旅游度假区建设，实现智慧旅游全域覆盖。</w:t>
      </w:r>
    </w:p>
    <w:p>
      <w:pPr>
        <w:pStyle w:val="2"/>
        <w:rPr>
          <w:rFonts w:eastAsiaTheme="minorEastAsia"/>
        </w:rPr>
      </w:pPr>
    </w:p>
    <w:p>
      <w:pPr>
        <w:pStyle w:val="4"/>
      </w:pPr>
    </w:p>
    <w:p>
      <w:pPr>
        <w:pStyle w:val="4"/>
      </w:pPr>
    </w:p>
    <w:p>
      <w:pPr>
        <w:pStyle w:val="4"/>
      </w:pPr>
    </w:p>
    <w:p>
      <w:pPr>
        <w:pStyle w:val="4"/>
      </w:pPr>
    </w:p>
    <w:p>
      <w:pPr>
        <w:pStyle w:val="4"/>
      </w:pPr>
    </w:p>
    <w:p>
      <w:pPr>
        <w:pStyle w:val="4"/>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pStyle w:val="4"/>
              <w:jc w:val="center"/>
              <w:rPr>
                <w:rFonts w:ascii="楷体" w:hAnsi="楷体" w:eastAsia="楷体"/>
              </w:rPr>
            </w:pPr>
            <w:r>
              <w:rPr>
                <w:rFonts w:hint="eastAsia" w:ascii="楷体" w:hAnsi="楷体" w:eastAsia="楷体" w:cs="宋体"/>
                <w:bCs/>
                <w:kern w:val="0"/>
                <w:sz w:val="26"/>
                <w:szCs w:val="26"/>
              </w:rPr>
              <w:t>专栏17 旅游基础设施工程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widowControl/>
              <w:spacing w:before="60" w:line="260" w:lineRule="exact"/>
              <w:ind w:firstLine="0" w:firstLineChars="0"/>
              <w:jc w:val="left"/>
              <w:rPr>
                <w:rFonts w:ascii="楷体_GB2312" w:hAnsi="仿宋" w:eastAsia="楷体_GB2312" w:cs="宋体"/>
                <w:kern w:val="0"/>
                <w:sz w:val="21"/>
                <w:szCs w:val="21"/>
              </w:rPr>
            </w:pPr>
            <w:r>
              <w:rPr>
                <w:rFonts w:ascii="楷体_GB2312" w:hAnsi="仿宋" w:eastAsia="楷体_GB2312" w:cs="宋体"/>
                <w:b/>
                <w:kern w:val="0"/>
                <w:sz w:val="21"/>
                <w:szCs w:val="21"/>
              </w:rPr>
              <w:t xml:space="preserve">01 </w:t>
            </w:r>
            <w:r>
              <w:rPr>
                <w:rFonts w:hint="eastAsia" w:ascii="楷体_GB2312" w:hAnsi="仿宋" w:eastAsia="楷体_GB2312" w:cs="宋体"/>
                <w:b/>
                <w:kern w:val="0"/>
                <w:sz w:val="21"/>
                <w:szCs w:val="21"/>
              </w:rPr>
              <w:t>智慧旅游景区建设</w:t>
            </w:r>
          </w:p>
          <w:p>
            <w:pPr>
              <w:widowControl/>
              <w:spacing w:before="60" w:line="260" w:lineRule="exact"/>
              <w:ind w:firstLine="420"/>
              <w:jc w:val="left"/>
              <w:rPr>
                <w:rFonts w:ascii="楷体" w:hAnsi="楷体" w:eastAsia="楷体" w:cs="宋体"/>
                <w:bCs/>
                <w:kern w:val="0"/>
                <w:sz w:val="26"/>
                <w:szCs w:val="26"/>
              </w:rPr>
            </w:pPr>
            <w:r>
              <w:rPr>
                <w:rFonts w:hint="eastAsia" w:ascii="楷体_GB2312" w:hAnsi="仿宋" w:eastAsia="楷体_GB2312" w:cs="宋体"/>
                <w:kern w:val="0"/>
                <w:sz w:val="21"/>
                <w:szCs w:val="21"/>
              </w:rPr>
              <w:t>重点实施水城区大数据中心建设项目，</w:t>
            </w:r>
            <w:r>
              <w:rPr>
                <w:rFonts w:hint="eastAsia" w:ascii="楷体_GB2312" w:hAnsi="仿宋" w:eastAsia="楷体_GB2312" w:cs="宋体"/>
                <w:kern w:val="0"/>
                <w:sz w:val="21"/>
                <w:szCs w:val="21"/>
                <w:lang w:eastAsia="zh-CN"/>
              </w:rPr>
              <w:t>康养水城</w:t>
            </w:r>
            <w:r>
              <w:rPr>
                <w:rFonts w:hint="eastAsia" w:ascii="楷体_GB2312" w:hAnsi="仿宋" w:eastAsia="楷体_GB2312" w:cs="宋体"/>
                <w:kern w:val="0"/>
                <w:sz w:val="21"/>
                <w:szCs w:val="21"/>
              </w:rPr>
              <w:t>全域旅游智慧系统，野玉海景区、百车河景区、米箩景区、北盘江景区智慧旅游系统升级。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widowControl/>
              <w:spacing w:before="60" w:line="260" w:lineRule="exact"/>
              <w:ind w:firstLine="0" w:firstLineChars="0"/>
              <w:jc w:val="left"/>
              <w:rPr>
                <w:rFonts w:ascii="楷体_GB2312" w:hAnsi="仿宋" w:eastAsia="楷体_GB2312" w:cs="宋体"/>
                <w:b/>
                <w:kern w:val="0"/>
                <w:sz w:val="21"/>
                <w:szCs w:val="21"/>
              </w:rPr>
            </w:pPr>
            <w:r>
              <w:rPr>
                <w:rFonts w:hint="eastAsia" w:ascii="楷体_GB2312" w:hAnsi="仿宋" w:eastAsia="楷体_GB2312" w:cs="宋体"/>
                <w:b/>
                <w:kern w:val="0"/>
                <w:sz w:val="21"/>
                <w:szCs w:val="21"/>
              </w:rPr>
              <w:t>0</w:t>
            </w:r>
            <w:r>
              <w:rPr>
                <w:rFonts w:ascii="楷体_GB2312" w:hAnsi="仿宋" w:eastAsia="楷体_GB2312" w:cs="宋体"/>
                <w:b/>
                <w:kern w:val="0"/>
                <w:sz w:val="21"/>
                <w:szCs w:val="21"/>
              </w:rPr>
              <w:t xml:space="preserve">2 </w:t>
            </w:r>
            <w:r>
              <w:rPr>
                <w:rFonts w:hint="eastAsia" w:ascii="楷体_GB2312" w:hAnsi="仿宋" w:eastAsia="楷体_GB2312" w:cs="宋体"/>
                <w:b/>
                <w:kern w:val="0"/>
                <w:sz w:val="21"/>
                <w:szCs w:val="21"/>
              </w:rPr>
              <w:t>旅游道路建设</w:t>
            </w:r>
          </w:p>
          <w:p>
            <w:pPr>
              <w:widowControl/>
              <w:spacing w:line="260" w:lineRule="exact"/>
              <w:ind w:firstLine="420"/>
              <w:jc w:val="left"/>
              <w:rPr>
                <w:rFonts w:ascii="楷体_GB2312" w:hAnsi="仿宋" w:eastAsia="楷体_GB2312" w:cs="宋体"/>
                <w:b/>
                <w:kern w:val="0"/>
                <w:sz w:val="21"/>
                <w:szCs w:val="21"/>
              </w:rPr>
            </w:pPr>
            <w:r>
              <w:rPr>
                <w:rFonts w:hint="eastAsia" w:ascii="楷体_GB2312" w:hAnsi="仿宋" w:eastAsia="楷体_GB2312" w:cs="宋体"/>
                <w:kern w:val="0"/>
                <w:sz w:val="21"/>
                <w:szCs w:val="21"/>
              </w:rPr>
              <w:t>重点建设野玉海景区内部观光车线路完善、市中心城区至野玉海快速公路建设项目、森林公园至海坪道路照明、野玉海景区卡丁车环线项目（外环路延伸段建设项目）、易扶搬迁安置点区域道路提升改造、野鸡坪30公里自行车赛道项目、梅花山至</w:t>
            </w:r>
            <w:r>
              <w:rPr>
                <w:rFonts w:hint="eastAsia" w:ascii="微软雅黑" w:hAnsi="微软雅黑" w:eastAsia="微软雅黑" w:cs="微软雅黑"/>
                <w:kern w:val="0"/>
                <w:sz w:val="21"/>
                <w:szCs w:val="21"/>
              </w:rPr>
              <w:t>牂牁</w:t>
            </w:r>
            <w:r>
              <w:rPr>
                <w:rFonts w:hint="eastAsia" w:ascii="楷体_GB2312" w:eastAsia="楷体_GB2312" w:cs="仿宋_GB2312"/>
                <w:kern w:val="0"/>
                <w:sz w:val="21"/>
                <w:szCs w:val="21"/>
              </w:rPr>
              <w:t>江旅游公路</w:t>
            </w:r>
            <w:r>
              <w:rPr>
                <w:rFonts w:hint="eastAsia" w:ascii="楷体_GB2312" w:hAnsi="仿宋" w:eastAsia="楷体_GB2312" w:cs="宋体"/>
                <w:kern w:val="0"/>
                <w:sz w:val="21"/>
                <w:szCs w:val="21"/>
              </w:rPr>
              <w:t>、野鸡坪景区至云南宣威泥猪河旅游快速通道、营盘乡甘山屋基至刺菜坪旅游公路、百车河至观音山连接线、野鸡坪至可渡河索道等旅游道路。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widowControl/>
              <w:spacing w:before="60" w:line="260" w:lineRule="exact"/>
              <w:ind w:firstLine="0" w:firstLineChars="0"/>
              <w:jc w:val="left"/>
              <w:rPr>
                <w:rFonts w:ascii="楷体_GB2312" w:hAnsi="仿宋" w:eastAsia="楷体_GB2312" w:cs="宋体"/>
                <w:b/>
                <w:kern w:val="0"/>
                <w:sz w:val="21"/>
                <w:szCs w:val="21"/>
              </w:rPr>
            </w:pPr>
            <w:r>
              <w:rPr>
                <w:rFonts w:hint="eastAsia" w:ascii="楷体_GB2312" w:hAnsi="仿宋" w:eastAsia="楷体_GB2312" w:cs="宋体"/>
                <w:b/>
                <w:kern w:val="0"/>
                <w:sz w:val="21"/>
                <w:szCs w:val="21"/>
              </w:rPr>
              <w:t>0</w:t>
            </w:r>
            <w:r>
              <w:rPr>
                <w:rFonts w:ascii="楷体_GB2312" w:hAnsi="仿宋" w:eastAsia="楷体_GB2312" w:cs="宋体"/>
                <w:b/>
                <w:kern w:val="0"/>
                <w:sz w:val="21"/>
                <w:szCs w:val="21"/>
              </w:rPr>
              <w:t xml:space="preserve">3 </w:t>
            </w:r>
            <w:r>
              <w:rPr>
                <w:rFonts w:hint="eastAsia" w:ascii="楷体_GB2312" w:hAnsi="仿宋" w:eastAsia="楷体_GB2312" w:cs="宋体"/>
                <w:b/>
                <w:kern w:val="0"/>
                <w:sz w:val="21"/>
                <w:szCs w:val="21"/>
              </w:rPr>
              <w:t>景区安全保障设施</w:t>
            </w:r>
          </w:p>
          <w:p>
            <w:pPr>
              <w:widowControl/>
              <w:spacing w:line="260" w:lineRule="exact"/>
              <w:ind w:firstLine="420"/>
              <w:jc w:val="left"/>
              <w:rPr>
                <w:rFonts w:ascii="楷体_GB2312" w:hAnsi="仿宋" w:eastAsia="楷体_GB2312" w:cs="宋体"/>
                <w:b/>
                <w:kern w:val="0"/>
                <w:sz w:val="21"/>
                <w:szCs w:val="21"/>
              </w:rPr>
            </w:pPr>
            <w:r>
              <w:rPr>
                <w:rFonts w:hint="eastAsia" w:ascii="楷体_GB2312" w:hAnsi="仿宋" w:eastAsia="楷体_GB2312" w:cs="宋体"/>
                <w:kern w:val="0"/>
                <w:sz w:val="21"/>
                <w:szCs w:val="21"/>
              </w:rPr>
              <w:t>重点建设水城区旅游安全应急救援中心、野玉海地质灾害防范治理、野玉海海坪消防系统建设、野玉海旅游安全应急救援系统（中心）建设、智慧林场、防火</w:t>
            </w:r>
            <w:r>
              <w:rPr>
                <w:rFonts w:hint="eastAsia" w:ascii="微软雅黑" w:hAnsi="微软雅黑" w:eastAsia="微软雅黑" w:cs="微软雅黑"/>
                <w:kern w:val="0"/>
                <w:sz w:val="21"/>
                <w:szCs w:val="21"/>
              </w:rPr>
              <w:t>瞭</w:t>
            </w:r>
            <w:r>
              <w:rPr>
                <w:rFonts w:hint="eastAsia" w:ascii="楷体_GB2312" w:eastAsia="楷体_GB2312" w:cs="仿宋_GB2312"/>
                <w:kern w:val="0"/>
                <w:sz w:val="21"/>
                <w:szCs w:val="21"/>
              </w:rPr>
              <w:t>望塔建设项目、林区</w:t>
            </w:r>
            <w:r>
              <w:rPr>
                <w:rFonts w:hint="eastAsia" w:ascii="楷体_GB2312" w:hAnsi="仿宋" w:eastAsia="楷体_GB2312" w:cs="宋体"/>
                <w:kern w:val="0"/>
                <w:sz w:val="21"/>
                <w:szCs w:val="21"/>
              </w:rPr>
              <w:t>防火通道建设项目、森林防火系统、无人机巡查系统、森林公园山塘治理、野鸡坪消防系统建设、百车河消防系统建设、森林公园消防系统建设。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34" w:type="dxa"/>
          </w:tcPr>
          <w:p>
            <w:pPr>
              <w:widowControl/>
              <w:spacing w:before="60" w:line="260" w:lineRule="exact"/>
              <w:ind w:firstLine="0" w:firstLineChars="0"/>
              <w:jc w:val="left"/>
              <w:rPr>
                <w:rFonts w:ascii="楷体_GB2312" w:hAnsi="仿宋" w:eastAsia="楷体_GB2312" w:cs="宋体"/>
                <w:b/>
                <w:kern w:val="0"/>
                <w:sz w:val="21"/>
                <w:szCs w:val="21"/>
              </w:rPr>
            </w:pPr>
            <w:r>
              <w:rPr>
                <w:rFonts w:hint="eastAsia" w:ascii="楷体_GB2312" w:hAnsi="仿宋" w:eastAsia="楷体_GB2312" w:cs="宋体"/>
                <w:b/>
                <w:kern w:val="0"/>
                <w:sz w:val="21"/>
                <w:szCs w:val="21"/>
              </w:rPr>
              <w:t>0</w:t>
            </w:r>
            <w:r>
              <w:rPr>
                <w:rFonts w:ascii="楷体_GB2312" w:hAnsi="仿宋" w:eastAsia="楷体_GB2312" w:cs="宋体"/>
                <w:b/>
                <w:kern w:val="0"/>
                <w:sz w:val="21"/>
                <w:szCs w:val="21"/>
              </w:rPr>
              <w:t xml:space="preserve">4 </w:t>
            </w:r>
            <w:r>
              <w:rPr>
                <w:rFonts w:hint="eastAsia" w:ascii="楷体_GB2312" w:hAnsi="仿宋" w:eastAsia="楷体_GB2312" w:cs="宋体"/>
                <w:b/>
                <w:kern w:val="0"/>
                <w:sz w:val="21"/>
                <w:szCs w:val="21"/>
              </w:rPr>
              <w:t>旅游服务设施</w:t>
            </w:r>
          </w:p>
          <w:p>
            <w:pPr>
              <w:pStyle w:val="4"/>
              <w:spacing w:line="260" w:lineRule="exact"/>
              <w:ind w:firstLine="420" w:firstLineChars="200"/>
            </w:pPr>
            <w:r>
              <w:rPr>
                <w:rFonts w:hint="eastAsia" w:ascii="楷体_GB2312" w:hAnsi="仿宋" w:eastAsia="楷体_GB2312" w:cs="宋体"/>
                <w:kern w:val="0"/>
                <w:szCs w:val="21"/>
              </w:rPr>
              <w:t>重点实施百车河景区双回路供电改造工程、水城区野玉海污水管网建设项目、野玉海景区高低压供电线路提升改造、全区100座旅游厕所改造提升工程，</w:t>
            </w:r>
            <w:r>
              <w:rPr>
                <w:rFonts w:hint="eastAsia" w:ascii="楷体_GB2312" w:eastAsia="楷体_GB2312"/>
                <w:szCs w:val="21"/>
              </w:rPr>
              <w:t>水城旅游集散中心、野玉海景区基础设施建设项目、野玉海拓展实践公寓、水城高家渡游客接待中心、北盘江景区码头及基础设施、水城北盘江沿线道路路网及路网景观改造、水城区旅游商品产业生产加工基地、水城全域旅游智慧化系统、水城龙场乡真龙山景区基础设施、天门码头、野玉海二级游客接待中心、米箩猕猴桃布依风情小镇基础设施等项目建设。</w:t>
            </w:r>
          </w:p>
        </w:tc>
      </w:tr>
    </w:tbl>
    <w:p>
      <w:pPr>
        <w:pStyle w:val="6"/>
        <w:spacing w:before="222" w:line="570" w:lineRule="exact"/>
      </w:pPr>
      <w:bookmarkStart w:id="47" w:name="_Toc63250067"/>
      <w:r>
        <w:rPr>
          <w:rFonts w:hint="eastAsia"/>
        </w:rPr>
        <w:t>第十八章 加速推进旅游产业化</w:t>
      </w:r>
      <w:bookmarkEnd w:id="47"/>
    </w:p>
    <w:p>
      <w:pPr>
        <w:ind w:firstLine="640"/>
      </w:pPr>
      <w:r>
        <w:rPr>
          <w:rFonts w:hint="eastAsia"/>
        </w:rPr>
        <w:t>积极探索“旅游</w:t>
      </w:r>
      <w:r>
        <w:t>+”模式，推进文体旅农工</w:t>
      </w:r>
      <w:r>
        <w:rPr>
          <w:rFonts w:hint="eastAsia"/>
        </w:rPr>
        <w:t>等</w:t>
      </w:r>
      <w:r>
        <w:t>多产业融合，助推旅游全域</w:t>
      </w:r>
      <w:r>
        <w:rPr>
          <w:rFonts w:hint="eastAsia"/>
        </w:rPr>
        <w:t>高质量</w:t>
      </w:r>
      <w:r>
        <w:t>发展</w:t>
      </w:r>
      <w:r>
        <w:rPr>
          <w:rFonts w:hint="eastAsia"/>
        </w:rPr>
        <w:t>，加速推进旅游产业化，形成泛旅游经济力。</w:t>
      </w:r>
    </w:p>
    <w:p>
      <w:pPr>
        <w:ind w:firstLine="0" w:firstLineChars="0"/>
        <w:jc w:val="center"/>
        <w:rPr>
          <w:b/>
          <w:bCs/>
        </w:rPr>
      </w:pPr>
      <w:r>
        <w:rPr>
          <w:rFonts w:hint="eastAsia"/>
          <w:b/>
          <w:bCs/>
        </w:rPr>
        <w:t>第一节 培育壮大旅游市场主体</w:t>
      </w:r>
    </w:p>
    <w:p>
      <w:pPr>
        <w:spacing w:after="120"/>
        <w:ind w:firstLine="640"/>
      </w:pPr>
      <w:r>
        <w:rPr>
          <w:rFonts w:hint="eastAsia"/>
        </w:rPr>
        <w:t>促进有为政府与有效市场协同联动，尊重企业主体地位，发展壮大旅游市场主体。加大国有资本投入、整合资源、资产重组、资产置换、混合所有制改革力度及引进战略投资合作伙伴，支持国有文旅企业做大做强，充分利用省内国有文化企业上市平台，培育大型龙头文旅企业集团。推动优强企业上市融资，扶持一批竞争力强的龙头企业。完善文旅项目库，引进一批优强文旅企业。扶持高星级旅游饭店、度假型酒店、高端民宿、高等级乡村旅游和数字文旅产业领军企业，着力培育一批具有竞争力和发展特色的专、精、特、新中小文旅企业,做好旅游市场主体的上规入统工作。</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line="240" w:lineRule="auto"/>
              <w:ind w:firstLine="0" w:firstLineChars="0"/>
              <w:jc w:val="center"/>
              <w:rPr>
                <w:rFonts w:ascii="楷体" w:hAnsi="楷体" w:eastAsia="楷体"/>
                <w:color w:val="000000" w:themeColor="text1"/>
                <w:kern w:val="0"/>
                <w:sz w:val="26"/>
                <w:szCs w:val="26"/>
                <w14:textFill>
                  <w14:solidFill>
                    <w14:schemeClr w14:val="tx1"/>
                  </w14:solidFill>
                </w14:textFill>
              </w:rPr>
            </w:pPr>
            <w:r>
              <w:rPr>
                <w:rFonts w:hint="eastAsia" w:ascii="楷体" w:hAnsi="楷体" w:eastAsia="楷体"/>
                <w:color w:val="000000" w:themeColor="text1"/>
                <w:kern w:val="0"/>
                <w:sz w:val="26"/>
                <w:szCs w:val="26"/>
                <w14:textFill>
                  <w14:solidFill>
                    <w14:schemeClr w14:val="tx1"/>
                  </w14:solidFill>
                </w14:textFill>
              </w:rPr>
              <w:t>专栏18 旅游市场主体培育壮大名单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hAnsi="仿宋" w:eastAsia="楷体_GB2312"/>
                <w:color w:val="000000" w:themeColor="text1"/>
                <w:kern w:val="0"/>
                <w:sz w:val="21"/>
                <w:szCs w:val="21"/>
                <w14:textFill>
                  <w14:solidFill>
                    <w14:schemeClr w14:val="tx1"/>
                  </w14:solidFill>
                </w14:textFill>
              </w:rPr>
            </w:pPr>
            <w:r>
              <w:rPr>
                <w:rFonts w:hint="eastAsia" w:ascii="楷体_GB2312" w:hAnsi="仿宋" w:eastAsia="楷体_GB2312"/>
                <w:b/>
                <w:color w:val="000000" w:themeColor="text1"/>
                <w:kern w:val="0"/>
                <w:sz w:val="21"/>
                <w:szCs w:val="21"/>
                <w14:textFill>
                  <w14:solidFill>
                    <w14:schemeClr w14:val="tx1"/>
                  </w14:solidFill>
                </w14:textFill>
              </w:rPr>
              <w:t>0</w:t>
            </w:r>
            <w:r>
              <w:rPr>
                <w:rFonts w:ascii="楷体_GB2312" w:hAnsi="仿宋" w:eastAsia="楷体_GB2312"/>
                <w:b/>
                <w:color w:val="000000" w:themeColor="text1"/>
                <w:kern w:val="0"/>
                <w:sz w:val="21"/>
                <w:szCs w:val="21"/>
                <w14:textFill>
                  <w14:solidFill>
                    <w14:schemeClr w14:val="tx1"/>
                  </w14:solidFill>
                </w14:textFill>
              </w:rPr>
              <w:t xml:space="preserve">1 </w:t>
            </w:r>
            <w:r>
              <w:rPr>
                <w:rFonts w:hint="eastAsia" w:ascii="楷体_GB2312" w:hAnsi="仿宋" w:eastAsia="楷体_GB2312"/>
                <w:b/>
                <w:color w:val="000000" w:themeColor="text1"/>
                <w:kern w:val="0"/>
                <w:sz w:val="21"/>
                <w:szCs w:val="21"/>
                <w14:textFill>
                  <w14:solidFill>
                    <w14:schemeClr w14:val="tx1"/>
                  </w14:solidFill>
                </w14:textFill>
              </w:rPr>
              <w:t>重点扶持国有文旅企业</w:t>
            </w:r>
          </w:p>
          <w:p>
            <w:pPr>
              <w:spacing w:before="60" w:line="280" w:lineRule="exact"/>
              <w:ind w:firstLine="420"/>
              <w:rPr>
                <w:rFonts w:ascii="楷体" w:hAnsi="楷体" w:eastAsia="楷体"/>
                <w:color w:val="000000" w:themeColor="text1"/>
                <w:kern w:val="0"/>
                <w:sz w:val="26"/>
                <w:szCs w:val="26"/>
                <w14:textFill>
                  <w14:solidFill>
                    <w14:schemeClr w14:val="tx1"/>
                  </w14:solidFill>
                </w14:textFill>
              </w:rPr>
            </w:pPr>
            <w:r>
              <w:rPr>
                <w:rFonts w:hint="eastAsia" w:ascii="楷体_GB2312" w:hAnsi="仿宋" w:eastAsia="楷体_GB2312"/>
                <w:color w:val="000000" w:themeColor="text1"/>
                <w:kern w:val="0"/>
                <w:sz w:val="21"/>
                <w:szCs w:val="21"/>
                <w14:textFill>
                  <w14:solidFill>
                    <w14:schemeClr w14:val="tx1"/>
                  </w14:solidFill>
                </w14:textFill>
              </w:rPr>
              <w:t>水城区文旅投资(集团)有限公司、玉舍森林旅游开发有限公司、区农林投集团。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hAnsi="仿宋" w:eastAsia="楷体_GB2312"/>
                <w:b/>
                <w:color w:val="000000" w:themeColor="text1"/>
                <w:kern w:val="0"/>
                <w:sz w:val="21"/>
                <w:szCs w:val="21"/>
                <w14:textFill>
                  <w14:solidFill>
                    <w14:schemeClr w14:val="tx1"/>
                  </w14:solidFill>
                </w14:textFill>
              </w:rPr>
            </w:pPr>
            <w:r>
              <w:rPr>
                <w:rFonts w:hint="eastAsia" w:ascii="楷体_GB2312" w:hAnsi="仿宋" w:eastAsia="楷体_GB2312"/>
                <w:b/>
                <w:color w:val="000000" w:themeColor="text1"/>
                <w:kern w:val="0"/>
                <w:sz w:val="21"/>
                <w:szCs w:val="21"/>
                <w14:textFill>
                  <w14:solidFill>
                    <w14:schemeClr w14:val="tx1"/>
                  </w14:solidFill>
                </w14:textFill>
              </w:rPr>
              <w:t>0</w:t>
            </w:r>
            <w:r>
              <w:rPr>
                <w:rFonts w:ascii="楷体_GB2312" w:hAnsi="仿宋" w:eastAsia="楷体_GB2312"/>
                <w:b/>
                <w:color w:val="000000" w:themeColor="text1"/>
                <w:kern w:val="0"/>
                <w:sz w:val="21"/>
                <w:szCs w:val="21"/>
                <w14:textFill>
                  <w14:solidFill>
                    <w14:schemeClr w14:val="tx1"/>
                  </w14:solidFill>
                </w14:textFill>
              </w:rPr>
              <w:t xml:space="preserve">2 </w:t>
            </w:r>
            <w:r>
              <w:rPr>
                <w:rFonts w:hint="eastAsia" w:ascii="楷体_GB2312" w:hAnsi="仿宋" w:eastAsia="楷体_GB2312"/>
                <w:b/>
                <w:color w:val="000000" w:themeColor="text1"/>
                <w:kern w:val="0"/>
                <w:sz w:val="21"/>
                <w:szCs w:val="21"/>
                <w14:textFill>
                  <w14:solidFill>
                    <w14:schemeClr w14:val="tx1"/>
                  </w14:solidFill>
                </w14:textFill>
              </w:rPr>
              <w:t>争取引进文旅企业</w:t>
            </w:r>
          </w:p>
          <w:p>
            <w:pPr>
              <w:spacing w:line="280" w:lineRule="exact"/>
              <w:ind w:firstLine="420"/>
              <w:rPr>
                <w:rFonts w:ascii="楷体_GB2312" w:hAnsi="仿宋" w:eastAsia="楷体_GB2312"/>
                <w:b/>
                <w:color w:val="000000" w:themeColor="text1"/>
                <w:kern w:val="0"/>
                <w:sz w:val="21"/>
                <w:szCs w:val="21"/>
                <w14:textFill>
                  <w14:solidFill>
                    <w14:schemeClr w14:val="tx1"/>
                  </w14:solidFill>
                </w14:textFill>
              </w:rPr>
            </w:pPr>
            <w:r>
              <w:rPr>
                <w:rFonts w:hint="eastAsia" w:ascii="楷体_GB2312" w:hAnsi="仿宋" w:eastAsia="楷体_GB2312"/>
                <w:color w:val="000000" w:themeColor="text1"/>
                <w:kern w:val="0"/>
                <w:sz w:val="21"/>
                <w:szCs w:val="21"/>
                <w14:textFill>
                  <w14:solidFill>
                    <w14:schemeClr w14:val="tx1"/>
                  </w14:solidFill>
                </w14:textFill>
              </w:rPr>
              <w:t>深圳华侨城、贵州旅游投资控股集团有限公司、中青旅控股股份有限公司、大连市旅游集团有限公司等。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931" w:type="dxa"/>
          </w:tcPr>
          <w:p>
            <w:pPr>
              <w:spacing w:before="60" w:line="280" w:lineRule="exact"/>
              <w:ind w:firstLine="0" w:firstLineChars="0"/>
              <w:rPr>
                <w:rFonts w:ascii="楷体_GB2312" w:hAnsi="仿宋" w:eastAsia="楷体_GB2312"/>
                <w:b/>
                <w:color w:val="000000" w:themeColor="text1"/>
                <w:kern w:val="0"/>
                <w:sz w:val="21"/>
                <w:szCs w:val="21"/>
                <w14:textFill>
                  <w14:solidFill>
                    <w14:schemeClr w14:val="tx1"/>
                  </w14:solidFill>
                </w14:textFill>
              </w:rPr>
            </w:pPr>
            <w:r>
              <w:rPr>
                <w:rFonts w:hint="eastAsia" w:ascii="楷体_GB2312" w:hAnsi="仿宋" w:eastAsia="楷体_GB2312"/>
                <w:b/>
                <w:color w:val="000000" w:themeColor="text1"/>
                <w:kern w:val="0"/>
                <w:sz w:val="21"/>
                <w:szCs w:val="21"/>
                <w14:textFill>
                  <w14:solidFill>
                    <w14:schemeClr w14:val="tx1"/>
                  </w14:solidFill>
                </w14:textFill>
              </w:rPr>
              <w:t>0</w:t>
            </w:r>
            <w:r>
              <w:rPr>
                <w:rFonts w:ascii="楷体_GB2312" w:hAnsi="仿宋" w:eastAsia="楷体_GB2312"/>
                <w:b/>
                <w:color w:val="000000" w:themeColor="text1"/>
                <w:kern w:val="0"/>
                <w:sz w:val="21"/>
                <w:szCs w:val="21"/>
                <w14:textFill>
                  <w14:solidFill>
                    <w14:schemeClr w14:val="tx1"/>
                  </w14:solidFill>
                </w14:textFill>
              </w:rPr>
              <w:t xml:space="preserve">3 </w:t>
            </w:r>
            <w:r>
              <w:rPr>
                <w:rFonts w:hint="eastAsia" w:ascii="楷体_GB2312" w:hAnsi="仿宋" w:eastAsia="楷体_GB2312"/>
                <w:b/>
                <w:color w:val="000000" w:themeColor="text1"/>
                <w:kern w:val="0"/>
                <w:sz w:val="21"/>
                <w:szCs w:val="21"/>
                <w14:textFill>
                  <w14:solidFill>
                    <w14:schemeClr w14:val="tx1"/>
                  </w14:solidFill>
                </w14:textFill>
              </w:rPr>
              <w:t>中小文旅企业</w:t>
            </w:r>
          </w:p>
          <w:p>
            <w:pPr>
              <w:spacing w:line="280" w:lineRule="exact"/>
              <w:ind w:firstLine="420"/>
              <w:rPr>
                <w:rFonts w:ascii="仿宋" w:hAnsi="仿宋" w:eastAsia="仿宋"/>
                <w:color w:val="000000" w:themeColor="text1"/>
                <w:kern w:val="0"/>
                <w:sz w:val="28"/>
                <w:szCs w:val="28"/>
                <w14:textFill>
                  <w14:solidFill>
                    <w14:schemeClr w14:val="tx1"/>
                  </w14:solidFill>
                </w14:textFill>
              </w:rPr>
            </w:pPr>
            <w:r>
              <w:rPr>
                <w:rFonts w:hint="eastAsia" w:ascii="楷体_GB2312" w:hAnsi="仿宋" w:eastAsia="楷体_GB2312"/>
                <w:color w:val="000000" w:themeColor="text1"/>
                <w:kern w:val="0"/>
                <w:sz w:val="21"/>
                <w:szCs w:val="21"/>
                <w14:textFill>
                  <w14:solidFill>
                    <w14:schemeClr w14:val="tx1"/>
                  </w14:solidFill>
                </w14:textFill>
              </w:rPr>
              <w:t>旧事文化传媒公司、夜郎风文化公司、天虹旅行社、岚腾旅行社、易泰旅游车队、岚腾旅游车队、盛景凉城旅游车队、云端滑雪公司、半方塘酒店文化服务公司、扬帆航运公司、水城区醉美乌蒙旅行社等。</w:t>
            </w:r>
          </w:p>
        </w:tc>
      </w:tr>
    </w:tbl>
    <w:p>
      <w:pPr>
        <w:ind w:firstLine="0" w:firstLineChars="0"/>
        <w:jc w:val="center"/>
        <w:rPr>
          <w:b/>
          <w:bCs/>
        </w:rPr>
      </w:pPr>
      <w:r>
        <w:rPr>
          <w:rFonts w:hint="eastAsia"/>
          <w:b/>
          <w:bCs/>
        </w:rPr>
        <w:t>第二节 推进“旅游</w:t>
      </w:r>
      <w:r>
        <w:rPr>
          <w:b/>
          <w:bCs/>
        </w:rPr>
        <w:t>+多产业”融合发展</w:t>
      </w:r>
    </w:p>
    <w:p>
      <w:pPr>
        <w:ind w:firstLine="640"/>
      </w:pPr>
      <w:r>
        <w:rPr>
          <w:rFonts w:hint="eastAsia"/>
        </w:rPr>
        <w:t>按照工作链、产业链、价值链“三链合一”的模式，立足后疫情时代乡村旅游发展现实，结合“小众化、安全高、慢生活、品质优”的新型市场需求，抢抓新生消费机遇，统筹推进乡村旅游与山地农业、大健康、体育、文化创意、研学旅行、大数据、商贸会展等领域深度融合，催生新业态、延伸产业链，做大价值链，形成新的增长点和增长极，促进产业化。</w:t>
      </w:r>
    </w:p>
    <w:p>
      <w:pPr>
        <w:spacing w:line="530" w:lineRule="exact"/>
        <w:ind w:firstLine="640"/>
      </w:pPr>
      <w:r>
        <w:rPr>
          <w:rFonts w:hint="eastAsia"/>
          <w:bCs/>
        </w:rPr>
        <w:t>旅游+文化。立</w:t>
      </w:r>
      <w:r>
        <w:rPr>
          <w:rFonts w:hint="eastAsia"/>
        </w:rPr>
        <w:t>足水城文化和旅游业高质量发展需求，按照“宜融则融，能融尽融，以文塑旅，以旅彰文”，“文化让旅游站得更高，旅游让文化走得更远”的理念，深化理念融合、职能融合、产业融合、市场融合、服务融合、对外交流融合，搭建文旅融合载体，创新融合模式，深入挖掘历史文化、“三变”文化、民族文化、红色文化等文化资源，深化“文化和旅游+”融合发展，推动文化旅游产业升级，提升贵州特色民族文化的软实力和影响力。</w:t>
      </w:r>
    </w:p>
    <w:p>
      <w:pPr>
        <w:spacing w:line="530" w:lineRule="exact"/>
        <w:ind w:firstLine="640"/>
        <w:rPr>
          <w:b/>
        </w:rPr>
      </w:pPr>
      <w:bookmarkStart w:id="48" w:name="_Toc49872657"/>
      <w:bookmarkStart w:id="49" w:name="_Toc59037825"/>
      <w:bookmarkStart w:id="50" w:name="_Toc58794747"/>
      <w:r>
        <w:rPr>
          <w:rFonts w:hint="eastAsia"/>
          <w:bCs/>
        </w:rPr>
        <w:t>旅游+农业</w:t>
      </w:r>
      <w:bookmarkEnd w:id="48"/>
      <w:bookmarkEnd w:id="49"/>
      <w:bookmarkEnd w:id="50"/>
      <w:r>
        <w:rPr>
          <w:rFonts w:hint="eastAsia"/>
          <w:bCs/>
        </w:rPr>
        <w:t>。</w:t>
      </w:r>
      <w:r>
        <w:rPr>
          <w:rFonts w:hint="eastAsia"/>
        </w:rPr>
        <w:t>强化旅游与山地农林牧副渔深度融合，以现代农业园区和“</w:t>
      </w:r>
      <w:bookmarkStart w:id="51" w:name="_Hlk63156259"/>
      <w:r>
        <w:rPr>
          <w:rFonts w:hint="eastAsia"/>
        </w:rPr>
        <w:t>六园一库</w:t>
      </w:r>
      <w:bookmarkEnd w:id="51"/>
      <w:r>
        <w:rPr>
          <w:rFonts w:hint="eastAsia"/>
        </w:rPr>
        <w:t>”建设为抓手，不断推进“三变”模式，形成多主体参与、多要素聚集、多业态发展的农文旅商一体化格局。深入挖掘山地农耕文化价值、农业文化遗产、灌溉工程遗产、梯田等农业景观遗产，突出农业园区文化内涵和个性特点，规划建设一批风光优美、风土人情自然、民风民俗淳朴、服务一流，集特色种植、采摘体验、亲子娱乐、生态保护为一体的农业主题公园、农耕文化博览园、农产品加工体验园、山地田园综合体、山地康养农庄等，形成特色鲜明、产值突出的农文旅融合业态。</w:t>
      </w:r>
    </w:p>
    <w:p>
      <w:pPr>
        <w:spacing w:line="530" w:lineRule="exact"/>
        <w:ind w:firstLine="640"/>
        <w:rPr>
          <w:b/>
        </w:rPr>
      </w:pPr>
      <w:bookmarkStart w:id="52" w:name="_Toc49872658"/>
      <w:bookmarkStart w:id="53" w:name="_Toc58794748"/>
      <w:bookmarkStart w:id="54" w:name="_Toc59037826"/>
      <w:r>
        <w:rPr>
          <w:rFonts w:hint="eastAsia"/>
          <w:bCs/>
        </w:rPr>
        <w:t>旅游+</w:t>
      </w:r>
      <w:bookmarkEnd w:id="52"/>
      <w:bookmarkEnd w:id="53"/>
      <w:bookmarkEnd w:id="54"/>
      <w:r>
        <w:rPr>
          <w:rFonts w:hint="eastAsia"/>
          <w:bCs/>
        </w:rPr>
        <w:t>康养。</w:t>
      </w:r>
      <w:r>
        <w:rPr>
          <w:rFonts w:hint="eastAsia"/>
        </w:rPr>
        <w:t>依托乡村优质的“健康药食材和民族民间医药”资源、温泉资源以及乡村地区森林、田园、水体等建构起来的优质环境资源，以“医、养、健、管、游、食”为主要切入点，积极发展人与自然和谐的大健康养生业态。充分挖掘提炼丰富的民族医药文化元素，融合中医医疗服务和中医药养生保健服务，形成民族医药康养旅游产品。依托绿色有机食品、中药材，重点发展绿色有机健康养生食品、药膳健康养生产品和中医、民族医药保健，建设一批融合山地有机农业、食疗、中医和民族医药保健等元素为一体的滋补养生基地。科学、高效、有序综合开发利用百车河、野钟、石米格、龙场龙头山等地丰富的温泉资源，在保护的前提下，打造集休闲、养生、度假为一体的温泉旅游产品。依托低纬度高海拔的立体山区气候，发挥温泉、民族医药、优良生态、有机农业叠加的综合优势，在有条件的区域大力发展保健疗养、旅居养老、休闲度假型“候鸟”养老旅游等新业态，形成一批集疗养、旅居、体验等为一体的养老度假基地。</w:t>
      </w:r>
      <w:r>
        <w:rPr>
          <w:rFonts w:hint="eastAsia"/>
          <w:bCs/>
        </w:rPr>
        <w:t>利用当地良好的生态植被条件和空气环境，建设配套绿地、园艺疗法花园医疗康养中心。对外提供中长期医疗康养服务，满足日益增长的中老年游客群体康养旅游需求。</w:t>
      </w:r>
      <w:bookmarkStart w:id="55" w:name="_Toc49872663"/>
      <w:bookmarkStart w:id="56" w:name="_Toc59037827"/>
      <w:bookmarkStart w:id="57" w:name="_Toc58794753"/>
    </w:p>
    <w:p>
      <w:pPr>
        <w:spacing w:line="530" w:lineRule="exact"/>
        <w:ind w:firstLine="640"/>
        <w:rPr>
          <w:bCs/>
        </w:rPr>
      </w:pPr>
      <w:r>
        <w:rPr>
          <w:rFonts w:hint="eastAsia"/>
          <w:bCs/>
        </w:rPr>
        <w:t>旅游+体育</w:t>
      </w:r>
      <w:bookmarkEnd w:id="55"/>
      <w:bookmarkEnd w:id="56"/>
      <w:bookmarkEnd w:id="57"/>
      <w:bookmarkStart w:id="58" w:name="_Toc49872666"/>
      <w:bookmarkStart w:id="59" w:name="_Toc59037828"/>
      <w:bookmarkStart w:id="60" w:name="_Toc58794756"/>
      <w:r>
        <w:rPr>
          <w:rFonts w:hint="eastAsia"/>
          <w:bCs/>
        </w:rPr>
        <w:t>。围绕健康中国、体育强国和全域旅游示范省的建设，积极申办国际国内重大体育赛事，针对不同客群及不同年龄段的需求，多元化推进热气球、休闲绿道、低空飞行、山地越野、山地自行车、雪地自行车、山地摩托、野外探险、户外露营、攀岩、漂流等体育运动旅游产品的开发，推进体旅融合大发展。</w:t>
      </w:r>
    </w:p>
    <w:bookmarkEnd w:id="58"/>
    <w:bookmarkEnd w:id="59"/>
    <w:bookmarkEnd w:id="60"/>
    <w:p>
      <w:pPr>
        <w:spacing w:line="530" w:lineRule="exact"/>
        <w:ind w:firstLine="640"/>
        <w:rPr>
          <w:rFonts w:cs="宋体"/>
          <w:b/>
          <w:kern w:val="0"/>
        </w:rPr>
      </w:pPr>
      <w:bookmarkStart w:id="61" w:name="_Toc49872667"/>
      <w:bookmarkStart w:id="62" w:name="_Toc59037829"/>
      <w:bookmarkStart w:id="63" w:name="_Toc58794757"/>
      <w:r>
        <w:rPr>
          <w:rFonts w:hint="eastAsia" w:cs="宋体"/>
          <w:bCs/>
          <w:kern w:val="0"/>
        </w:rPr>
        <w:t>旅游+</w:t>
      </w:r>
      <w:bookmarkEnd w:id="61"/>
      <w:bookmarkEnd w:id="62"/>
      <w:bookmarkEnd w:id="63"/>
      <w:r>
        <w:rPr>
          <w:rFonts w:hint="eastAsia" w:cs="宋体"/>
          <w:bCs/>
          <w:kern w:val="0"/>
        </w:rPr>
        <w:t>教育</w:t>
      </w:r>
      <w:bookmarkStart w:id="64" w:name="_Toc59037830"/>
      <w:bookmarkStart w:id="65" w:name="_Toc58794758"/>
      <w:r>
        <w:rPr>
          <w:rFonts w:hint="eastAsia" w:cs="宋体"/>
          <w:bCs/>
          <w:kern w:val="0"/>
        </w:rPr>
        <w:t>。</w:t>
      </w:r>
      <w:r>
        <w:rPr>
          <w:rFonts w:hint="eastAsia"/>
        </w:rPr>
        <w:t>推动“旅游+教育”融合发展。盘活全区科研机构、文化馆、图书馆、博物馆等场馆以及湿地公园、森林公园、地质公园、现代农业园区、传统村落、非遗等资源，建设研学旅行基地，将研学旅行纳入全区中小学教育教学计划，</w:t>
      </w:r>
      <w:r>
        <w:t>学校根据学段特点和地域特色，逐步建立小学阶段以乡土乡情为主、初中阶段以县情市情为主、高中阶段以省情国情为主的研学旅行活动课程体系</w:t>
      </w:r>
      <w:r>
        <w:rPr>
          <w:rFonts w:hint="eastAsia"/>
        </w:rPr>
        <w:t>。开发地质研学旅游、工矿研学旅游、山地农业研学、非遗研学、湿地研学、森林研学等产品。积极与远方研学旅行市场对接，建设一批高品质的研学旅行营地（基地）。</w:t>
      </w:r>
    </w:p>
    <w:p>
      <w:pPr>
        <w:spacing w:line="530" w:lineRule="exact"/>
        <w:ind w:firstLine="640"/>
        <w:rPr>
          <w:bCs/>
        </w:rPr>
      </w:pPr>
      <w:r>
        <w:rPr>
          <w:rFonts w:hint="eastAsia"/>
          <w:bCs/>
        </w:rPr>
        <w:t>旅游+水利</w:t>
      </w:r>
      <w:bookmarkEnd w:id="64"/>
      <w:bookmarkEnd w:id="65"/>
      <w:bookmarkStart w:id="66" w:name="_Toc58794759"/>
      <w:bookmarkStart w:id="67" w:name="_Toc49872668"/>
      <w:bookmarkStart w:id="68" w:name="_Toc59037831"/>
      <w:r>
        <w:rPr>
          <w:rFonts w:hint="eastAsia"/>
          <w:bCs/>
        </w:rPr>
        <w:t>。科学合理利用水域和水利工程，适度发展观光游憩和休闲度假等水利旅游，保护性开发北盘江大峡谷景区、开展巴朗河流域治理，形成滨水休闲度假带，打造北盘江水上运动休闲基地等，推动旅游与水利融合发展。</w:t>
      </w:r>
    </w:p>
    <w:bookmarkEnd w:id="66"/>
    <w:bookmarkEnd w:id="67"/>
    <w:bookmarkEnd w:id="68"/>
    <w:p>
      <w:pPr>
        <w:spacing w:line="530" w:lineRule="exact"/>
        <w:ind w:firstLine="640"/>
        <w:rPr>
          <w:rFonts w:cs="宋体"/>
          <w:kern w:val="0"/>
        </w:rPr>
      </w:pPr>
      <w:r>
        <w:rPr>
          <w:rFonts w:hint="eastAsia"/>
          <w:bCs/>
        </w:rPr>
        <w:t>旅游+工业。</w:t>
      </w:r>
      <w:r>
        <w:rPr>
          <w:rFonts w:hint="eastAsia" w:cs="宋体"/>
          <w:bCs/>
          <w:kern w:val="0"/>
        </w:rPr>
        <w:t>创</w:t>
      </w:r>
      <w:r>
        <w:rPr>
          <w:rFonts w:hint="eastAsia" w:cs="宋体"/>
          <w:kern w:val="0"/>
        </w:rPr>
        <w:t>新工业旅游，形成“工业+旅游+文化”的综合性开发模式。依托工矿遗址，推进工业锈带变成产业秀带。</w:t>
      </w:r>
      <w:r>
        <w:rPr>
          <w:rFonts w:hint="eastAsia"/>
        </w:rPr>
        <w:t>有序推动旅游交通装备、基础设施装备、户外运动装备等制造业逐步成形。引导重点旅游景区建设房车营地，大力培育房车消费市场，推动房车生产项目落地，加快构建房车生产、维修、售后等后端服务体系。依托钢铁、建材等产品优势，积极发展游乐设施装备制造，重点推进水城经开区玄武岩、铝合金等新材料制造旅游户外设施项目。发展滑雪装备制造、体育运动装备等产业，加快打造一批户外装备综合制造企业，逐步形成富有竞争力的旅游装备制造产业集群。</w:t>
      </w:r>
    </w:p>
    <w:p>
      <w:pPr>
        <w:spacing w:line="530" w:lineRule="exact"/>
        <w:ind w:firstLine="640"/>
      </w:pPr>
      <w:r>
        <w:rPr>
          <w:rFonts w:hint="eastAsia"/>
          <w:bCs/>
        </w:rPr>
        <w:t>旅游+交通。</w:t>
      </w:r>
      <w:r>
        <w:rPr>
          <w:rFonts w:hint="eastAsia"/>
        </w:rPr>
        <w:t>推进交旅融合，依托全区山地资源本底，发挥北盘江世界第一高桥等优势，开发多元化、体验感极强的交通体验旅游产品，旅游空间由地面扩展到天空、水面、地下，构建游船、电动汽车、缆车、列车、自行车、马车、直升飞机、滑翔伞、热气球等多元化、立体式交通体验，构建 360度立体交通。</w:t>
      </w:r>
    </w:p>
    <w:p>
      <w:pPr>
        <w:spacing w:line="530" w:lineRule="exact"/>
        <w:ind w:firstLine="640"/>
        <w:rPr>
          <w:bCs/>
        </w:rPr>
      </w:pPr>
      <w:bookmarkStart w:id="69" w:name="_Toc59037832"/>
      <w:bookmarkStart w:id="70" w:name="_Toc58794762"/>
      <w:bookmarkStart w:id="71" w:name="_Toc49872671"/>
      <w:r>
        <w:rPr>
          <w:rFonts w:hint="eastAsia"/>
          <w:bCs/>
        </w:rPr>
        <w:t>旅游+商贸</w:t>
      </w:r>
      <w:bookmarkEnd w:id="69"/>
      <w:bookmarkEnd w:id="70"/>
      <w:bookmarkEnd w:id="71"/>
      <w:r>
        <w:rPr>
          <w:rFonts w:hint="eastAsia"/>
          <w:bCs/>
        </w:rPr>
        <w:t>。利用各类商贸会展节事，提升旅游知名度和美誉度。通过举办和参与农产品博览会、果蔬产业博览会展、山地农业嘉年华等规模化和品牌化博览会、展览会、交易会和农事节庆，讲述水城故事，聚人气，聚财气。利用好“双微一抖”等新媒体和自媒体平台，以直播带货的方式促进旅游与商贸的融合发展，实现流量变现。借力电商渠道，营销推广品牌农副食品、特色手工艺品、伴手礼等。加强旅游商品售后管理，为游客提供满意的消费体验。</w:t>
      </w:r>
    </w:p>
    <w:p>
      <w:pPr>
        <w:spacing w:after="60"/>
        <w:ind w:firstLine="640"/>
      </w:pPr>
      <w:r>
        <w:rPr>
          <w:rFonts w:hint="eastAsia"/>
          <w:bCs/>
        </w:rPr>
        <w:t>旅游+大数据。</w:t>
      </w:r>
      <w:r>
        <w:rPr>
          <w:rFonts w:hint="eastAsia"/>
        </w:rPr>
        <w:t>以大数据助推全域旅游大发展。加强人工智能与全域旅游广泛结合，用科技手段降低运营成本和运营风险，提高全域旅游智慧化水平,深化“互联网+旅游”，不断创新旅游商业模式。</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专栏19 旅游业融合发展重点项目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1 </w:t>
            </w:r>
            <w:r>
              <w:rPr>
                <w:rFonts w:hint="eastAsia" w:ascii="楷体_GB2312" w:hAnsi="仿宋" w:eastAsia="楷体_GB2312"/>
                <w:b/>
                <w:bCs/>
                <w:sz w:val="21"/>
                <w:szCs w:val="21"/>
              </w:rPr>
              <w:t>旅游+文化</w:t>
            </w:r>
          </w:p>
          <w:p>
            <w:pPr>
              <w:spacing w:before="60" w:line="260" w:lineRule="exact"/>
              <w:ind w:firstLine="420"/>
              <w:rPr>
                <w:rFonts w:ascii="楷体" w:hAnsi="楷体" w:eastAsia="楷体"/>
                <w:sz w:val="26"/>
                <w:szCs w:val="26"/>
              </w:rPr>
            </w:pPr>
            <w:r>
              <w:rPr>
                <w:rFonts w:hint="eastAsia" w:ascii="楷体_GB2312" w:hAnsi="仿宋" w:eastAsia="楷体_GB2312"/>
                <w:sz w:val="21"/>
                <w:szCs w:val="21"/>
              </w:rPr>
              <w:t>重点推进陡箐苗族文化园、米箩布依文化园、龙场白族风情园、海坪彝族文化园、百车河水车文化园等文化产业园建设。推进滴水岩景区恢复重建、北盘江花戛游客集散中心、花戛天门古村落民俗园、野玉海林场历史文化馆、彝族文化走廊提升改造、彝族历史文化博物馆提升改造、土司庄园提升改造工程、彝族医养馆、彝族文化大剧院、彝族文化传承馆、彝族文化剧目编研产业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sz w:val="21"/>
                <w:szCs w:val="21"/>
              </w:rPr>
            </w:pPr>
            <w:r>
              <w:rPr>
                <w:rFonts w:hint="eastAsia" w:ascii="楷体_GB2312" w:hAnsi="仿宋" w:eastAsia="楷体_GB2312"/>
                <w:b/>
                <w:sz w:val="21"/>
                <w:szCs w:val="21"/>
              </w:rPr>
              <w:t>0</w:t>
            </w:r>
            <w:r>
              <w:rPr>
                <w:rFonts w:ascii="楷体_GB2312" w:hAnsi="仿宋" w:eastAsia="楷体_GB2312"/>
                <w:b/>
                <w:sz w:val="21"/>
                <w:szCs w:val="21"/>
              </w:rPr>
              <w:t xml:space="preserve">2 </w:t>
            </w:r>
            <w:r>
              <w:rPr>
                <w:rFonts w:hint="eastAsia" w:ascii="楷体_GB2312" w:hAnsi="仿宋" w:eastAsia="楷体_GB2312"/>
                <w:b/>
                <w:sz w:val="21"/>
                <w:szCs w:val="21"/>
              </w:rPr>
              <w:t>旅游+工业</w:t>
            </w:r>
          </w:p>
          <w:p>
            <w:pPr>
              <w:spacing w:before="60" w:line="260" w:lineRule="exact"/>
              <w:ind w:firstLine="420"/>
              <w:rPr>
                <w:rFonts w:ascii="楷体_GB2312" w:hAnsi="仿宋" w:eastAsia="楷体_GB2312"/>
                <w:b/>
                <w:bCs/>
                <w:sz w:val="21"/>
                <w:szCs w:val="21"/>
              </w:rPr>
            </w:pPr>
            <w:r>
              <w:rPr>
                <w:rFonts w:hint="eastAsia" w:ascii="楷体_GB2312" w:eastAsia="楷体_GB2312"/>
                <w:sz w:val="21"/>
                <w:szCs w:val="21"/>
              </w:rPr>
              <w:t>重点实施水城经开区景区用玄武岩纤维复合材料生产、水城经开区铝合金箱包、水城经开区水城区年产20万件滑雪装备、水城经开区应急物资产业园、</w:t>
            </w:r>
            <w:r>
              <w:rPr>
                <w:rFonts w:hint="eastAsia" w:ascii="楷体_GB2312" w:hAnsi="仿宋" w:eastAsia="楷体_GB2312"/>
                <w:sz w:val="21"/>
                <w:szCs w:val="21"/>
              </w:rPr>
              <w:t>经开区旅游观光车制造、经开区旅游户外用品制造、旅游纺织产品（滑雪服、帐篷、登山服）制造</w:t>
            </w:r>
            <w:r>
              <w:rPr>
                <w:rFonts w:hint="eastAsia" w:ascii="楷体_GB2312" w:eastAsia="楷体_GB2312"/>
                <w:sz w:val="21"/>
                <w:szCs w:val="21"/>
              </w:rPr>
              <w:t>等项目建设。</w:t>
            </w:r>
            <w:r>
              <w:rPr>
                <w:rFonts w:hint="eastAsia" w:ascii="楷体_GB2312" w:hAnsi="仿宋" w:eastAsia="楷体_GB2312"/>
                <w:sz w:val="21"/>
                <w:szCs w:val="21"/>
              </w:rPr>
              <w:t>推进水城春、红心猕猴桃、刺梨、水城农民画等商品开发打造优质旅游商品。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b/>
                <w:bCs/>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3 </w:t>
            </w:r>
            <w:r>
              <w:rPr>
                <w:rFonts w:hint="eastAsia" w:ascii="楷体_GB2312" w:hAnsi="仿宋" w:eastAsia="楷体_GB2312"/>
                <w:b/>
                <w:bCs/>
                <w:sz w:val="21"/>
                <w:szCs w:val="21"/>
              </w:rPr>
              <w:t>旅游+交通</w:t>
            </w:r>
          </w:p>
          <w:p>
            <w:pPr>
              <w:spacing w:line="260" w:lineRule="exact"/>
              <w:ind w:firstLine="420"/>
              <w:rPr>
                <w:rFonts w:ascii="楷体_GB2312" w:hAnsi="仿宋" w:eastAsia="楷体_GB2312"/>
                <w:b/>
                <w:sz w:val="21"/>
                <w:szCs w:val="21"/>
              </w:rPr>
            </w:pPr>
            <w:r>
              <w:rPr>
                <w:rFonts w:hint="eastAsia" w:ascii="楷体_GB2312" w:hAnsi="仿宋" w:eastAsia="楷体_GB2312"/>
                <w:sz w:val="21"/>
                <w:szCs w:val="21"/>
              </w:rPr>
              <w:t>重点推进北盘江第一高桥开发。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b/>
                <w:bCs/>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4 </w:t>
            </w:r>
            <w:r>
              <w:rPr>
                <w:rFonts w:hint="eastAsia" w:ascii="楷体_GB2312" w:hAnsi="仿宋" w:eastAsia="楷体_GB2312"/>
                <w:b/>
                <w:bCs/>
                <w:sz w:val="21"/>
                <w:szCs w:val="21"/>
              </w:rPr>
              <w:t>旅游+农业</w:t>
            </w:r>
          </w:p>
          <w:p>
            <w:pPr>
              <w:spacing w:line="260" w:lineRule="exact"/>
              <w:ind w:firstLine="420"/>
              <w:rPr>
                <w:rFonts w:ascii="楷体_GB2312" w:hAnsi="仿宋" w:eastAsia="楷体_GB2312"/>
                <w:b/>
                <w:sz w:val="21"/>
                <w:szCs w:val="21"/>
              </w:rPr>
            </w:pPr>
            <w:r>
              <w:rPr>
                <w:rFonts w:hint="eastAsia" w:ascii="楷体_GB2312" w:hAnsi="仿宋" w:eastAsia="楷体_GB2312"/>
                <w:sz w:val="21"/>
                <w:szCs w:val="21"/>
              </w:rPr>
              <w:t>重点实施水城区百车河景区现代农业采摘观光园项目、水城区百车河景区热带植物（水果）园项目、猕猴桃主题农庄建设、米箩镇景观农业灾后重建整治工程、米箩农耕文化体验基地、农夫集市建设工程等项目。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b/>
                <w:bCs/>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5 </w:t>
            </w:r>
            <w:r>
              <w:rPr>
                <w:rFonts w:hint="eastAsia" w:ascii="楷体_GB2312" w:hAnsi="仿宋" w:eastAsia="楷体_GB2312"/>
                <w:b/>
                <w:bCs/>
                <w:sz w:val="21"/>
                <w:szCs w:val="21"/>
              </w:rPr>
              <w:t>旅游+商贸</w:t>
            </w:r>
          </w:p>
          <w:p>
            <w:pPr>
              <w:spacing w:line="260" w:lineRule="exact"/>
              <w:ind w:firstLine="420"/>
              <w:rPr>
                <w:rFonts w:ascii="楷体_GB2312" w:hAnsi="仿宋" w:eastAsia="楷体_GB2312"/>
                <w:b/>
                <w:sz w:val="21"/>
                <w:szCs w:val="21"/>
              </w:rPr>
            </w:pPr>
            <w:r>
              <w:rPr>
                <w:rFonts w:hint="eastAsia" w:ascii="楷体_GB2312" w:hAnsi="仿宋" w:eastAsia="楷体_GB2312"/>
                <w:sz w:val="21"/>
                <w:szCs w:val="21"/>
              </w:rPr>
              <w:t>重点实施水城区百车河景区商业街（春芳街）扩建项目、野玉海电子商务平台等项目。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hAnsi="仿宋" w:eastAsia="楷体_GB2312"/>
                <w:b/>
                <w:bCs/>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6 </w:t>
            </w:r>
            <w:r>
              <w:rPr>
                <w:rFonts w:hint="eastAsia" w:ascii="楷体_GB2312" w:hAnsi="仿宋" w:eastAsia="楷体_GB2312"/>
                <w:b/>
                <w:bCs/>
                <w:sz w:val="21"/>
                <w:szCs w:val="21"/>
              </w:rPr>
              <w:t>旅游+教育</w:t>
            </w:r>
          </w:p>
          <w:p>
            <w:pPr>
              <w:spacing w:line="260" w:lineRule="exact"/>
              <w:ind w:firstLine="420"/>
              <w:rPr>
                <w:rFonts w:ascii="楷体_GB2312" w:hAnsi="仿宋" w:eastAsia="楷体_GB2312"/>
                <w:b/>
                <w:sz w:val="21"/>
                <w:szCs w:val="21"/>
              </w:rPr>
            </w:pPr>
            <w:r>
              <w:rPr>
                <w:rFonts w:hint="eastAsia" w:ascii="楷体_GB2312" w:hAnsi="仿宋" w:eastAsia="楷体_GB2312"/>
                <w:sz w:val="21"/>
                <w:szCs w:val="21"/>
              </w:rPr>
              <w:t>重点实施水城区百车河景区党建党风廉政教育基地、玉舍森林公园林下种植及研学基地、林场珍稀动植物展览馆、野玉海林下经济等项目建设。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8789" w:type="dxa"/>
          </w:tcPr>
          <w:p>
            <w:pPr>
              <w:spacing w:before="60" w:line="260" w:lineRule="exact"/>
              <w:ind w:firstLine="0" w:firstLineChars="0"/>
              <w:rPr>
                <w:rFonts w:ascii="楷体_GB2312" w:hAnsi="仿宋" w:eastAsia="楷体_GB2312"/>
                <w:b/>
                <w:bCs/>
                <w:sz w:val="21"/>
                <w:szCs w:val="21"/>
              </w:rPr>
            </w:pPr>
            <w:r>
              <w:rPr>
                <w:rFonts w:hint="eastAsia" w:ascii="楷体_GB2312" w:hAnsi="仿宋" w:eastAsia="楷体_GB2312"/>
                <w:b/>
                <w:bCs/>
                <w:sz w:val="21"/>
                <w:szCs w:val="21"/>
              </w:rPr>
              <w:t>0</w:t>
            </w:r>
            <w:r>
              <w:rPr>
                <w:rFonts w:ascii="楷体_GB2312" w:hAnsi="仿宋" w:eastAsia="楷体_GB2312"/>
                <w:b/>
                <w:bCs/>
                <w:sz w:val="21"/>
                <w:szCs w:val="21"/>
              </w:rPr>
              <w:t xml:space="preserve">7 </w:t>
            </w:r>
            <w:r>
              <w:rPr>
                <w:rFonts w:hint="eastAsia" w:ascii="楷体_GB2312" w:hAnsi="仿宋" w:eastAsia="楷体_GB2312"/>
                <w:b/>
                <w:bCs/>
                <w:sz w:val="21"/>
                <w:szCs w:val="21"/>
              </w:rPr>
              <w:t>旅游+康养</w:t>
            </w:r>
          </w:p>
          <w:p>
            <w:pPr>
              <w:spacing w:line="260" w:lineRule="exact"/>
              <w:ind w:firstLine="420"/>
              <w:rPr>
                <w:rFonts w:hAnsi="仿宋"/>
                <w:sz w:val="28"/>
                <w:szCs w:val="28"/>
              </w:rPr>
            </w:pPr>
            <w:r>
              <w:rPr>
                <w:rFonts w:hint="eastAsia" w:ascii="楷体_GB2312" w:hAnsi="仿宋" w:eastAsia="楷体_GB2312"/>
                <w:bCs/>
                <w:sz w:val="21"/>
                <w:szCs w:val="21"/>
              </w:rPr>
              <w:t>重点</w:t>
            </w:r>
            <w:r>
              <w:rPr>
                <w:rFonts w:hint="eastAsia" w:ascii="楷体_GB2312" w:hAnsi="仿宋" w:eastAsia="楷体_GB2312"/>
                <w:sz w:val="21"/>
                <w:szCs w:val="21"/>
              </w:rPr>
              <w:t>推进水城区药旅一体化项目、北盘江景区康养中心、水城百车河康养综合体、水城老年慢性病康复疗养中心、水城南部园区生态茶园综合体、水城现代康复疗养中心、野玉海国家级旅游度假区“候鸟式”养老服务中心、百车河旅游景区“候鸟式”养老服务中心、百车河文旅康养基地、百车河温泉度假区康养旅游产业发展项目、乌蒙老龄产业综合服务建设项目（乌蒙康复医院）等项目建设。</w:t>
            </w:r>
          </w:p>
        </w:tc>
      </w:tr>
    </w:tbl>
    <w:p>
      <w:pPr>
        <w:ind w:firstLine="0" w:firstLineChars="0"/>
        <w:jc w:val="center"/>
        <w:rPr>
          <w:b/>
          <w:bCs/>
        </w:rPr>
      </w:pPr>
      <w:bookmarkStart w:id="72" w:name="_Toc62048167"/>
      <w:r>
        <w:rPr>
          <w:rFonts w:hint="eastAsia"/>
          <w:b/>
          <w:bCs/>
        </w:rPr>
        <w:t>第三节 乡村旅游促进乡村振兴</w:t>
      </w:r>
      <w:bookmarkEnd w:id="72"/>
    </w:p>
    <w:p>
      <w:pPr>
        <w:ind w:firstLine="640"/>
      </w:pPr>
      <w:r>
        <w:rPr>
          <w:rFonts w:hint="eastAsia"/>
        </w:rPr>
        <w:t>围绕刺梨产业、茶产业、水果产业、食用菌产业、蔬菜产业、生态畜牧业、中药材产业、生态渔业产业等山地特色农业，因地制宜做好农文旅商融合，延长农业产业链，做大价值链。依托高速公路服务区、主要交通干道旅客集散点等设立农副土特产品销售专区，依托本地核心景区景点、以旅游景区“大集市、小货摊”植入为重点，不断优化提升千家万户小康菜园，实施乡村旅游“后备箱”提升工程，扩大本地名优土特产品的品牌价值，带动生产与销售。加强与各大电商对接和合作，同步推进各大电商设立线下“</w:t>
      </w:r>
      <w:r>
        <w:rPr>
          <w:rFonts w:hint="eastAsia"/>
          <w:lang w:eastAsia="zh-CN"/>
        </w:rPr>
        <w:t>康养水城</w:t>
      </w:r>
      <w:r>
        <w:rPr>
          <w:rFonts w:hint="eastAsia"/>
        </w:rPr>
        <w:t>山珍”体验店，支持各大电商平台开展旅游电商助力乡村振兴行动，开展在线宣传推广、特产销售、旅游线路营销，实现线上与线下有机统一。</w:t>
      </w:r>
    </w:p>
    <w:p>
      <w:pPr>
        <w:spacing w:after="120"/>
        <w:ind w:firstLine="640"/>
      </w:pPr>
      <w:bookmarkStart w:id="73" w:name="_Toc62048169"/>
      <w:r>
        <w:rPr>
          <w:rFonts w:hint="eastAsia"/>
        </w:rPr>
        <w:t>推进乡村旅游村镇规划建设</w:t>
      </w:r>
      <w:bookmarkEnd w:id="73"/>
      <w:r>
        <w:rPr>
          <w:rFonts w:hint="eastAsia"/>
        </w:rPr>
        <w:t>。抢抓乡村振兴战略和全国乡村旅游重点村镇实施机遇，挖掘民俗文化，打造一批形式多样、特色鲜明的乡村旅游重点村镇。鼓励乡村开发非物质文化旅游商品和乡村民宿旅游项目。</w:t>
      </w:r>
      <w:bookmarkStart w:id="74" w:name="_Toc62048170"/>
      <w:r>
        <w:rPr>
          <w:rFonts w:hint="eastAsia"/>
        </w:rPr>
        <w:t>推动实施乡村民族文化传承行动</w:t>
      </w:r>
      <w:bookmarkEnd w:id="74"/>
      <w:r>
        <w:rPr>
          <w:rFonts w:hint="eastAsia"/>
        </w:rPr>
        <w:t>，按照“一村一品”的要求，打造</w:t>
      </w:r>
      <w:r>
        <w:t>集“村史、</w:t>
      </w:r>
      <w:r>
        <w:rPr>
          <w:rFonts w:hint="eastAsia"/>
        </w:rPr>
        <w:t>博物、</w:t>
      </w:r>
      <w:r>
        <w:t>展示、</w:t>
      </w:r>
      <w:r>
        <w:rPr>
          <w:rFonts w:hint="eastAsia"/>
        </w:rPr>
        <w:t>宣教、</w:t>
      </w:r>
      <w:r>
        <w:t>娱乐、休闲、咨询”七大功能于一体的新时代</w:t>
      </w:r>
      <w:r>
        <w:rPr>
          <w:rFonts w:hint="eastAsia"/>
        </w:rPr>
        <w:t>贵州</w:t>
      </w:r>
      <w:r>
        <w:t>乡村文化</w:t>
      </w:r>
      <w:r>
        <w:rPr>
          <w:rFonts w:hint="eastAsia"/>
        </w:rPr>
        <w:t>苑</w:t>
      </w:r>
      <w:r>
        <w:t>，</w:t>
      </w:r>
      <w:r>
        <w:rPr>
          <w:rFonts w:hint="eastAsia"/>
        </w:rPr>
        <w:t>推进乡村文化建设。以自治增活力、以法制强保障、以德治扬正气，培育文明乡风，强化现代科技支撑，形成党组织领导的自治、法制和德治相结合的现代乡村旅游治理体系和共建共治共享的乡村旅游社会治理格局，不断增强广大农民的获得感、幸福感和安全感。</w:t>
      </w:r>
    </w:p>
    <w:tbl>
      <w:tblPr>
        <w:tblStyle w:val="15"/>
        <w:tblW w:w="8804"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8804" w:type="dxa"/>
            <w:shd w:val="clear" w:color="auto" w:fill="auto"/>
            <w:vAlign w:val="center"/>
          </w:tcPr>
          <w:p>
            <w:pPr>
              <w:widowControl/>
              <w:spacing w:line="240" w:lineRule="auto"/>
              <w:ind w:firstLine="0" w:firstLineChars="0"/>
              <w:jc w:val="center"/>
              <w:rPr>
                <w:rFonts w:ascii="楷体" w:hAnsi="楷体" w:eastAsia="楷体" w:cs="宋体"/>
                <w:bCs/>
                <w:kern w:val="0"/>
                <w:sz w:val="26"/>
                <w:szCs w:val="26"/>
              </w:rPr>
            </w:pPr>
            <w:r>
              <w:rPr>
                <w:rFonts w:hint="eastAsia" w:ascii="楷体" w:hAnsi="楷体" w:eastAsia="楷体" w:cs="宋体"/>
                <w:bCs/>
                <w:kern w:val="0"/>
                <w:sz w:val="26"/>
                <w:szCs w:val="26"/>
              </w:rPr>
              <w:t>专栏20  乡村旅游助力乡村振兴工程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6" w:hRule="atLeast"/>
        </w:trPr>
        <w:tc>
          <w:tcPr>
            <w:tcW w:w="8804" w:type="dxa"/>
            <w:shd w:val="clear" w:color="auto" w:fill="auto"/>
            <w:vAlign w:val="center"/>
          </w:tcPr>
          <w:p>
            <w:pPr>
              <w:widowControl/>
              <w:spacing w:line="280" w:lineRule="exact"/>
              <w:ind w:firstLine="422"/>
              <w:jc w:val="left"/>
              <w:rPr>
                <w:rFonts w:ascii="楷体_GB2312" w:hAnsi="仿宋" w:eastAsia="楷体_GB2312" w:cs="宋体"/>
                <w:kern w:val="0"/>
                <w:sz w:val="21"/>
                <w:szCs w:val="21"/>
              </w:rPr>
            </w:pPr>
            <w:r>
              <w:rPr>
                <w:rFonts w:hint="eastAsia" w:ascii="楷体_GB2312" w:hAnsi="仿宋" w:eastAsia="楷体_GB2312" w:cs="宋体"/>
                <w:b/>
                <w:kern w:val="0"/>
                <w:sz w:val="21"/>
                <w:szCs w:val="21"/>
              </w:rPr>
              <w:t>乡村旅游促进乡村振兴示范工程</w:t>
            </w:r>
          </w:p>
          <w:p>
            <w:pPr>
              <w:widowControl/>
              <w:spacing w:line="280" w:lineRule="exact"/>
              <w:ind w:firstLine="420"/>
              <w:jc w:val="left"/>
              <w:rPr>
                <w:rFonts w:ascii="楷体_GB2312" w:hAnsi="仿宋" w:eastAsia="楷体_GB2312" w:cs="宋体"/>
                <w:kern w:val="0"/>
                <w:sz w:val="21"/>
                <w:szCs w:val="21"/>
              </w:rPr>
            </w:pPr>
            <w:r>
              <w:rPr>
                <w:rFonts w:hint="eastAsia" w:ascii="楷体_GB2312" w:hAnsi="仿宋" w:eastAsia="楷体_GB2312" w:cs="宋体"/>
                <w:kern w:val="0"/>
                <w:sz w:val="21"/>
                <w:szCs w:val="21"/>
              </w:rPr>
              <w:t>重点建设百车居委、法那村、海坪村、补那村、倮么村、野钟村、新发村、天门村、花水村、打把村、娱乐村、旗帜村、陡箐村、大寨村、坪地村、大田村、台沙村、米箩村、俄戛村、哈青村、院坝村、箐马村、娘娘山村、二台村、土发村、甘塘村、俄脚村、五里坪村、娱乐村、麻窝村、格支村、中坡居委会、滴水岩村、双井村、兰花村、鸡戏坪村、罗多村、发堤村、雨湾河村、九归村、大发村、法德村、吴王村、大元村、新光村、姬官营村、发射村、龙场村等</w:t>
            </w:r>
            <w:r>
              <w:rPr>
                <w:rFonts w:ascii="楷体_GB2312" w:hAnsi="仿宋" w:eastAsia="楷体_GB2312" w:cs="宋体"/>
                <w:kern w:val="0"/>
                <w:sz w:val="21"/>
                <w:szCs w:val="21"/>
              </w:rPr>
              <w:t>48</w:t>
            </w:r>
            <w:r>
              <w:rPr>
                <w:rFonts w:hint="eastAsia" w:ascii="楷体_GB2312" w:hAnsi="仿宋" w:eastAsia="楷体_GB2312" w:cs="宋体"/>
                <w:kern w:val="0"/>
                <w:sz w:val="21"/>
                <w:szCs w:val="21"/>
              </w:rPr>
              <w:t>个村。</w:t>
            </w:r>
          </w:p>
        </w:tc>
      </w:tr>
    </w:tbl>
    <w:p>
      <w:pPr>
        <w:pStyle w:val="6"/>
        <w:spacing w:before="222" w:line="570" w:lineRule="exact"/>
      </w:pPr>
      <w:bookmarkStart w:id="75" w:name="_Toc63250068"/>
      <w:r>
        <w:rPr>
          <w:rFonts w:hint="eastAsia"/>
        </w:rPr>
        <w:t>第十九章</w:t>
      </w:r>
      <w:bookmarkStart w:id="76" w:name="_Hlk56199632"/>
      <w:r>
        <w:rPr>
          <w:rFonts w:hint="eastAsia"/>
        </w:rPr>
        <w:t xml:space="preserve"> 提升旅游业发展质量和效益</w:t>
      </w:r>
      <w:bookmarkEnd w:id="75"/>
    </w:p>
    <w:p>
      <w:pPr>
        <w:ind w:firstLine="640"/>
      </w:pPr>
      <w:r>
        <w:rPr>
          <w:rFonts w:hint="eastAsia"/>
        </w:rPr>
        <w:t>通过全域旅游</w:t>
      </w:r>
      <w:r>
        <w:t>业态创新和产业融合发展</w:t>
      </w:r>
      <w:r>
        <w:rPr>
          <w:rFonts w:hint="eastAsia"/>
        </w:rPr>
        <w:t>，</w:t>
      </w:r>
      <w:r>
        <w:t>不断培育旅游产业</w:t>
      </w:r>
      <w:r>
        <w:rPr>
          <w:rFonts w:hint="eastAsia"/>
        </w:rPr>
        <w:t>集群</w:t>
      </w:r>
      <w:r>
        <w:t>，</w:t>
      </w:r>
      <w:r>
        <w:rPr>
          <w:rFonts w:hint="eastAsia"/>
        </w:rPr>
        <w:t>把水城区创建成为国家全域旅游示范区，</w:t>
      </w:r>
      <w:r>
        <w:t>成为</w:t>
      </w:r>
      <w:r>
        <w:rPr>
          <w:rFonts w:hint="eastAsia"/>
        </w:rPr>
        <w:t>国际一流的</w:t>
      </w:r>
      <w:r>
        <w:t>避暑度假和山地户外运动目的</w:t>
      </w:r>
      <w:r>
        <w:rPr>
          <w:rFonts w:hint="eastAsia"/>
        </w:rPr>
        <w:t>地。</w:t>
      </w:r>
    </w:p>
    <w:p>
      <w:pPr>
        <w:ind w:firstLine="0" w:firstLineChars="0"/>
        <w:jc w:val="center"/>
        <w:rPr>
          <w:b/>
          <w:bCs/>
        </w:rPr>
      </w:pPr>
      <w:r>
        <w:rPr>
          <w:rFonts w:hint="eastAsia"/>
          <w:b/>
          <w:bCs/>
        </w:rPr>
        <w:t>第一节 提升旅游服务质量</w:t>
      </w:r>
    </w:p>
    <w:p>
      <w:pPr>
        <w:ind w:firstLine="640"/>
        <w:rPr>
          <w:bCs/>
        </w:rPr>
      </w:pPr>
      <w:r>
        <w:rPr>
          <w:rFonts w:hint="eastAsia"/>
          <w:bCs/>
        </w:rPr>
        <w:t>开展旅游标准化建设。以国家（含国际）标准、省市地方标准和行业标准为指导，推进住宿、餐饮、交通、景区、旅游度假区等标准化建设，以标准化确保旅游服务质量。加大旅游服务标准的宣贯和培训力度，强化社会监督，以游客满意度倒逼旅游经营者提升服务质量。</w:t>
      </w:r>
    </w:p>
    <w:p>
      <w:pPr>
        <w:ind w:firstLine="640"/>
        <w:rPr>
          <w:rFonts w:eastAsiaTheme="minorEastAsia"/>
        </w:rPr>
      </w:pPr>
      <w:r>
        <w:rPr>
          <w:rFonts w:hint="eastAsia"/>
          <w:bCs/>
        </w:rPr>
        <w:t>推行旅游全面质量管理。以高质量发展为核心，通过全员参与、全方位管理和全过程管理</w:t>
      </w:r>
      <w:r>
        <w:rPr>
          <w:rFonts w:hint="eastAsia"/>
        </w:rPr>
        <w:t>，综合运用切合实际的各项先进管理技术、方法和手段，使旅游产业链形成完整高效的有机整体，为游客提供满意服务。制定水城区旅游服务质量提升计划，分类推进旅游景区、旅游度假区、休闲农业与乡村旅游点、酒店、交通、餐饮、购物、娱乐等行业服务质量提升。将旅游服务质量检查明察暗访相结合，定期和不定期进行抽查和整改。</w:t>
      </w:r>
    </w:p>
    <w:p>
      <w:pPr>
        <w:ind w:firstLine="0" w:firstLineChars="0"/>
        <w:jc w:val="center"/>
        <w:rPr>
          <w:b/>
          <w:bCs/>
        </w:rPr>
      </w:pPr>
      <w:r>
        <w:rPr>
          <w:rFonts w:hint="eastAsia"/>
          <w:b/>
          <w:bCs/>
        </w:rPr>
        <w:t>第二节 推进旅游体制改革</w:t>
      </w:r>
    </w:p>
    <w:bookmarkEnd w:id="76"/>
    <w:p>
      <w:pPr>
        <w:ind w:firstLine="640"/>
      </w:pPr>
      <w:r>
        <w:rPr>
          <w:rFonts w:hint="eastAsia"/>
        </w:rPr>
        <w:t>健全领导体制、协调机制、综合管理机制，形成全域旅游全区抓的体制机制。建立健全现代旅游统计制度与统计体系，深入开展餐饮业、住宿业、交通运输业、旅游商品业、休闲娱乐业等统计监测。成立水城区旅游协会，协会按照行业类别下设旅游景区、旅游住宿、旅游车船、乡村旅游、旅游教育与研学旅行等行业分会，加强对协会业务指导，发挥旅游协会的作用，加强行业自律，形成良好的行业自律机制。加强政策保障，用好、用活、用足各项旅游扶持政策。做好涉旅产业政策利用，推进多规融合，发挥各产业政策对旅游业发展的叠加效应。</w:t>
      </w:r>
      <w:bookmarkStart w:id="77" w:name="_Toc62048198"/>
      <w:r>
        <w:rPr>
          <w:rFonts w:hint="eastAsia"/>
        </w:rPr>
        <w:t>加大财政金融支持</w:t>
      </w:r>
      <w:bookmarkEnd w:id="77"/>
      <w:bookmarkStart w:id="78" w:name="_Toc62048199"/>
      <w:r>
        <w:rPr>
          <w:rFonts w:hint="eastAsia"/>
        </w:rPr>
        <w:t>，强化用地保障</w:t>
      </w:r>
      <w:bookmarkEnd w:id="78"/>
      <w:r>
        <w:rPr>
          <w:rFonts w:hint="eastAsia"/>
        </w:rPr>
        <w:t>。维护旅游秩序，健全旅游安全救援体系。</w:t>
      </w:r>
    </w:p>
    <w:p>
      <w:pPr>
        <w:ind w:firstLine="0" w:firstLineChars="0"/>
        <w:jc w:val="center"/>
        <w:rPr>
          <w:b/>
          <w:bCs/>
        </w:rPr>
      </w:pPr>
      <w:bookmarkStart w:id="79" w:name="_Toc62048200"/>
      <w:r>
        <w:rPr>
          <w:rFonts w:hint="eastAsia"/>
          <w:b/>
          <w:bCs/>
        </w:rPr>
        <w:t>第四节 加强旅游人才队伍建设</w:t>
      </w:r>
      <w:bookmarkEnd w:id="79"/>
    </w:p>
    <w:p>
      <w:pPr>
        <w:ind w:firstLine="640"/>
      </w:pPr>
      <w:r>
        <w:rPr>
          <w:rFonts w:hint="eastAsia"/>
        </w:rPr>
        <w:t>设立水城旅游专家智库，制定全区旅游专家智库工作方案。聘请国内外相关领域的知名专家、学者和企业家进入智库，为全区全域旅游发展提供各类咨询和人才培训服务。专家、学者和企业家的领域涵盖文化旅游、农业、林业、植物、地学、生态、环保、能源、建筑、城乡规划、生命科学、大健康、大数据、市场营销、酒店管理、旅游景区运营、旅游装备制造、休闲农业与乡村旅游等领域。</w:t>
      </w:r>
    </w:p>
    <w:p>
      <w:pPr>
        <w:spacing w:after="120"/>
        <w:ind w:firstLine="640"/>
      </w:pPr>
      <w:r>
        <w:rPr>
          <w:rFonts w:hint="eastAsia"/>
        </w:rPr>
        <w:t>建立多层次的人才引进和旅游培训机制，实施旅游人才奖励政策。出台水城区人才强旅意见，将全域旅游发展的相关专业紧缺人才纳入人才引进计划。积极营造良好的人才工作环境，吸纳外地优秀人才入住落户水城。支持鼓励水城优秀人才返乡进行旅游创业，吸纳优秀大学毕业生进入旅游行业，充实旅游人才队伍。制定水城区旅游教育培训计划，加强对旅游从业人员教育培训，不断提高旅游人员专业水平。</w:t>
      </w:r>
    </w:p>
    <w:tbl>
      <w:tblPr>
        <w:tblStyle w:val="15"/>
        <w:tblW w:w="8804"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804" w:type="dxa"/>
            <w:shd w:val="clear" w:color="auto" w:fill="auto"/>
            <w:vAlign w:val="center"/>
          </w:tcPr>
          <w:p>
            <w:pPr>
              <w:widowControl/>
              <w:spacing w:line="240" w:lineRule="auto"/>
              <w:ind w:left="-5" w:leftChars="-21" w:hanging="62" w:hangingChars="24"/>
              <w:jc w:val="center"/>
              <w:rPr>
                <w:rFonts w:ascii="楷体" w:hAnsi="楷体" w:eastAsia="楷体" w:cs="宋体"/>
                <w:bCs/>
                <w:kern w:val="0"/>
                <w:sz w:val="26"/>
                <w:szCs w:val="26"/>
              </w:rPr>
            </w:pPr>
            <w:r>
              <w:rPr>
                <w:rFonts w:hint="eastAsia" w:ascii="楷体" w:hAnsi="楷体" w:eastAsia="楷体" w:cs="宋体"/>
                <w:bCs/>
                <w:kern w:val="0"/>
                <w:sz w:val="26"/>
                <w:szCs w:val="26"/>
              </w:rPr>
              <w:t>专栏21 旅游人才队伍建设工程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804" w:type="dxa"/>
            <w:shd w:val="clear" w:color="auto" w:fill="auto"/>
            <w:vAlign w:val="center"/>
          </w:tcPr>
          <w:p>
            <w:pPr>
              <w:widowControl/>
              <w:spacing w:before="60" w:line="280" w:lineRule="exact"/>
              <w:ind w:firstLine="0" w:firstLineChars="0"/>
              <w:jc w:val="left"/>
              <w:rPr>
                <w:rFonts w:ascii="楷体_GB2312" w:hAnsi="仿宋" w:eastAsia="楷体_GB2312" w:cs="宋体"/>
                <w:kern w:val="0"/>
                <w:sz w:val="21"/>
                <w:szCs w:val="21"/>
              </w:rPr>
            </w:pPr>
            <w:r>
              <w:rPr>
                <w:rFonts w:hint="eastAsia" w:ascii="楷体_GB2312" w:hAnsi="仿宋" w:eastAsia="楷体_GB2312" w:cs="宋体"/>
                <w:b/>
                <w:kern w:val="0"/>
                <w:sz w:val="21"/>
                <w:szCs w:val="21"/>
              </w:rPr>
              <w:t>0</w:t>
            </w:r>
            <w:r>
              <w:rPr>
                <w:rFonts w:ascii="楷体_GB2312" w:hAnsi="仿宋" w:eastAsia="楷体_GB2312" w:cs="宋体"/>
                <w:b/>
                <w:kern w:val="0"/>
                <w:sz w:val="21"/>
                <w:szCs w:val="21"/>
              </w:rPr>
              <w:t xml:space="preserve">1 </w:t>
            </w:r>
            <w:r>
              <w:rPr>
                <w:rFonts w:hint="eastAsia" w:ascii="楷体_GB2312" w:hAnsi="仿宋" w:eastAsia="楷体_GB2312" w:cs="宋体"/>
                <w:b/>
                <w:kern w:val="0"/>
                <w:sz w:val="21"/>
                <w:szCs w:val="21"/>
              </w:rPr>
              <w:t>创新型旅游人才培养计划</w:t>
            </w:r>
          </w:p>
          <w:p>
            <w:pPr>
              <w:widowControl/>
              <w:spacing w:line="280" w:lineRule="exact"/>
              <w:ind w:firstLine="420"/>
              <w:jc w:val="left"/>
              <w:rPr>
                <w:rFonts w:ascii="楷体" w:hAnsi="楷体" w:eastAsia="楷体" w:cs="宋体"/>
                <w:bCs/>
                <w:kern w:val="0"/>
                <w:sz w:val="26"/>
                <w:szCs w:val="26"/>
              </w:rPr>
            </w:pPr>
            <w:r>
              <w:rPr>
                <w:rFonts w:hint="eastAsia" w:ascii="楷体_GB2312" w:hAnsi="仿宋" w:eastAsia="楷体_GB2312" w:cs="宋体"/>
                <w:kern w:val="0"/>
                <w:sz w:val="21"/>
                <w:szCs w:val="21"/>
              </w:rPr>
              <w:t>每年定向培养 10-20 名旅游企业高级管理人才，支持 50-100 个旅游人才创办企业，实施旅游英才计划。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8804" w:type="dxa"/>
            <w:shd w:val="clear" w:color="auto" w:fill="auto"/>
            <w:vAlign w:val="center"/>
          </w:tcPr>
          <w:p>
            <w:pPr>
              <w:widowControl/>
              <w:spacing w:before="60" w:line="280" w:lineRule="exact"/>
              <w:ind w:firstLine="0" w:firstLineChars="0"/>
              <w:jc w:val="left"/>
              <w:rPr>
                <w:rFonts w:ascii="楷体_GB2312" w:hAnsi="仿宋" w:eastAsia="楷体_GB2312" w:cs="宋体"/>
                <w:b/>
                <w:kern w:val="0"/>
                <w:sz w:val="21"/>
                <w:szCs w:val="21"/>
              </w:rPr>
            </w:pPr>
            <w:r>
              <w:rPr>
                <w:rFonts w:hint="eastAsia" w:ascii="楷体_GB2312" w:hAnsi="仿宋" w:eastAsia="楷体_GB2312" w:cs="宋体"/>
                <w:b/>
                <w:kern w:val="0"/>
                <w:sz w:val="21"/>
                <w:szCs w:val="21"/>
              </w:rPr>
              <w:t>0</w:t>
            </w:r>
            <w:r>
              <w:rPr>
                <w:rFonts w:ascii="楷体_GB2312" w:hAnsi="仿宋" w:eastAsia="楷体_GB2312" w:cs="宋体"/>
                <w:b/>
                <w:kern w:val="0"/>
                <w:sz w:val="21"/>
                <w:szCs w:val="21"/>
              </w:rPr>
              <w:t xml:space="preserve">2 </w:t>
            </w:r>
            <w:r>
              <w:rPr>
                <w:rFonts w:hint="eastAsia" w:ascii="楷体_GB2312" w:hAnsi="仿宋" w:eastAsia="楷体_GB2312" w:cs="宋体"/>
                <w:b/>
                <w:kern w:val="0"/>
                <w:sz w:val="21"/>
                <w:szCs w:val="21"/>
              </w:rPr>
              <w:t>乡村旅游实用技能人才培训工程</w:t>
            </w:r>
          </w:p>
          <w:p>
            <w:pPr>
              <w:widowControl/>
              <w:spacing w:line="280" w:lineRule="exact"/>
              <w:ind w:firstLine="420"/>
              <w:jc w:val="left"/>
              <w:rPr>
                <w:rFonts w:hAnsi="仿宋" w:cs="宋体"/>
                <w:kern w:val="0"/>
                <w:sz w:val="28"/>
                <w:szCs w:val="28"/>
              </w:rPr>
            </w:pPr>
            <w:r>
              <w:rPr>
                <w:rFonts w:hint="eastAsia" w:ascii="楷体_GB2312" w:hAnsi="仿宋" w:eastAsia="楷体_GB2312" w:cs="宋体"/>
                <w:kern w:val="0"/>
                <w:sz w:val="21"/>
                <w:szCs w:val="21"/>
              </w:rPr>
              <w:t>加强对乡村民宿、农家乐、旅游交通、旅游商品等从业人员培训，每年不少于1000人次。</w:t>
            </w:r>
          </w:p>
        </w:tc>
      </w:tr>
    </w:tbl>
    <w:p>
      <w:pPr>
        <w:ind w:firstLine="0" w:firstLineChars="0"/>
        <w:jc w:val="center"/>
        <w:rPr>
          <w:b/>
          <w:bCs/>
        </w:rPr>
      </w:pPr>
      <w:r>
        <w:rPr>
          <w:rFonts w:hint="eastAsia"/>
          <w:b/>
          <w:bCs/>
        </w:rPr>
        <w:t>第五节 提升旅游</w:t>
      </w:r>
      <w:r>
        <w:rPr>
          <w:b/>
          <w:bCs/>
        </w:rPr>
        <w:t>宣传</w:t>
      </w:r>
      <w:r>
        <w:rPr>
          <w:rFonts w:hint="eastAsia"/>
          <w:b/>
          <w:bCs/>
        </w:rPr>
        <w:t>推广</w:t>
      </w:r>
    </w:p>
    <w:p>
      <w:pPr>
        <w:ind w:firstLine="640"/>
      </w:pPr>
      <w:bookmarkStart w:id="80" w:name="_Toc62048173"/>
      <w:r>
        <w:rPr>
          <w:rFonts w:hint="eastAsia"/>
          <w:bCs/>
        </w:rPr>
        <w:t>精准定位目标市场</w:t>
      </w:r>
      <w:bookmarkEnd w:id="80"/>
      <w:r>
        <w:rPr>
          <w:rFonts w:hint="eastAsia"/>
        </w:rPr>
        <w:t>。</w:t>
      </w:r>
      <w:r>
        <w:rPr>
          <w:rFonts w:hint="eastAsia"/>
          <w:lang w:val="zh-CN"/>
        </w:rPr>
        <w:t>以黔中城市群为</w:t>
      </w:r>
      <w:r>
        <w:rPr>
          <w:lang w:val="zh-CN"/>
        </w:rPr>
        <w:t>核心的省内及周边地区</w:t>
      </w:r>
      <w:r>
        <w:rPr>
          <w:rFonts w:hint="eastAsia"/>
          <w:lang w:val="zh-CN"/>
        </w:rPr>
        <w:t>的基础市场，以粤港澳大湾区、</w:t>
      </w:r>
      <w:r>
        <w:rPr>
          <w:lang w:val="zh-CN"/>
        </w:rPr>
        <w:t>长三角和京津</w:t>
      </w:r>
      <w:r>
        <w:rPr>
          <w:rFonts w:hint="eastAsia"/>
          <w:lang w:val="zh-CN"/>
        </w:rPr>
        <w:t>冀</w:t>
      </w:r>
      <w:r>
        <w:rPr>
          <w:lang w:val="zh-CN"/>
        </w:rPr>
        <w:t>地区</w:t>
      </w:r>
      <w:r>
        <w:rPr>
          <w:rFonts w:hint="eastAsia"/>
          <w:lang w:val="zh-CN"/>
        </w:rPr>
        <w:t>以及</w:t>
      </w:r>
      <w:r>
        <w:rPr>
          <w:lang w:val="zh-CN"/>
        </w:rPr>
        <w:t>以</w:t>
      </w:r>
      <w:r>
        <w:rPr>
          <w:rFonts w:hint="eastAsia"/>
          <w:lang w:val="zh-CN"/>
        </w:rPr>
        <w:t>重庆、长沙、</w:t>
      </w:r>
      <w:r>
        <w:rPr>
          <w:rFonts w:hint="eastAsia" w:cs="宋体"/>
          <w:kern w:val="0"/>
        </w:rPr>
        <w:t>成都</w:t>
      </w:r>
      <w:r>
        <w:rPr>
          <w:rFonts w:cs="宋体"/>
          <w:kern w:val="0"/>
        </w:rPr>
        <w:t>、杭州、海口、长沙、南昌、武汉、南宁、西安</w:t>
      </w:r>
      <w:r>
        <w:rPr>
          <w:rFonts w:hint="eastAsia" w:cs="宋体"/>
          <w:kern w:val="0"/>
        </w:rPr>
        <w:t>、</w:t>
      </w:r>
      <w:r>
        <w:rPr>
          <w:rFonts w:cs="宋体"/>
          <w:kern w:val="0"/>
        </w:rPr>
        <w:t>成都、深圳</w:t>
      </w:r>
      <w:r>
        <w:rPr>
          <w:rFonts w:hint="eastAsia"/>
          <w:lang w:val="zh-CN"/>
        </w:rPr>
        <w:t>等为</w:t>
      </w:r>
      <w:r>
        <w:rPr>
          <w:lang w:val="zh-CN"/>
        </w:rPr>
        <w:t>代表的火炉城市</w:t>
      </w:r>
      <w:r>
        <w:rPr>
          <w:rFonts w:hint="eastAsia"/>
          <w:lang w:val="zh-CN"/>
        </w:rPr>
        <w:t>为主攻市场，以及以</w:t>
      </w:r>
      <w:r>
        <w:rPr>
          <w:rFonts w:hint="eastAsia" w:cs="宋体"/>
          <w:kern w:val="0"/>
        </w:rPr>
        <w:t>港澳台、</w:t>
      </w:r>
      <w:r>
        <w:rPr>
          <w:rFonts w:cs="宋体"/>
          <w:kern w:val="0"/>
        </w:rPr>
        <w:t>东南亚</w:t>
      </w:r>
      <w:r>
        <w:rPr>
          <w:rFonts w:hint="eastAsia" w:cs="宋体"/>
          <w:kern w:val="0"/>
        </w:rPr>
        <w:t>、</w:t>
      </w:r>
      <w:r>
        <w:rPr>
          <w:rFonts w:cs="宋体"/>
          <w:kern w:val="0"/>
        </w:rPr>
        <w:t>东北亚</w:t>
      </w:r>
      <w:r>
        <w:rPr>
          <w:rFonts w:hint="eastAsia" w:cs="宋体"/>
          <w:kern w:val="0"/>
        </w:rPr>
        <w:t>和</w:t>
      </w:r>
      <w:r>
        <w:rPr>
          <w:rFonts w:cs="宋体"/>
          <w:kern w:val="0"/>
        </w:rPr>
        <w:t>欧洲</w:t>
      </w:r>
      <w:r>
        <w:rPr>
          <w:rFonts w:hint="eastAsia" w:cs="宋体"/>
          <w:kern w:val="0"/>
        </w:rPr>
        <w:t>为核心的机会市场</w:t>
      </w:r>
      <w:r>
        <w:rPr>
          <w:rFonts w:cs="宋体"/>
          <w:kern w:val="0"/>
        </w:rPr>
        <w:t>。</w:t>
      </w:r>
      <w:r>
        <w:rPr>
          <w:rFonts w:hint="eastAsia"/>
          <w:lang w:val="zh-CN"/>
        </w:rPr>
        <w:t>巩固基础市场，拓展主攻市场，把握机会市场，深耕</w:t>
      </w:r>
      <w:r>
        <w:rPr>
          <w:rFonts w:hint="eastAsia"/>
        </w:rPr>
        <w:t>避暑避霾、保健疗养、户外运动、养老度假、家庭亲子、观光体验、研学旅行和自驾车等八大旅游专项市场。</w:t>
      </w:r>
    </w:p>
    <w:p>
      <w:pPr>
        <w:ind w:firstLine="640"/>
        <w:rPr>
          <w:rFonts w:cs="宋体"/>
          <w:kern w:val="0"/>
        </w:rPr>
      </w:pPr>
      <w:r>
        <w:rPr>
          <w:rFonts w:hint="eastAsia" w:cs="宋体"/>
          <w:bCs/>
          <w:kern w:val="0"/>
        </w:rPr>
        <w:t>积极开展节事营销。</w:t>
      </w:r>
      <w:r>
        <w:rPr>
          <w:rFonts w:hint="eastAsia"/>
        </w:rPr>
        <w:t>依托六盘水市已有的“品牌节事、四季节庆、事件策划”的营销效果，突出打造水城独有的节事营销，通过系列的宣传包装，拓展营销渠道。加强与省市民族协会合作，高标准</w:t>
      </w:r>
      <w:r>
        <w:rPr>
          <w:rFonts w:hint="eastAsia" w:cs="宋体"/>
          <w:kern w:val="0"/>
        </w:rPr>
        <w:t>办好彝族火把节、端午水车节、布依六月六、白族文化节、鞭陀大赛等民族民间文化活动。引进山地户外运动挑战赛、国际环法自行车赛等体育赛事，做大做强山地户外运动品牌。</w:t>
      </w:r>
      <w:r>
        <w:rPr>
          <w:rFonts w:hint="eastAsia"/>
        </w:rPr>
        <w:t>围绕“春赏花、夏避暑、秋采果、冬滑雪”四季主题，做好四季主题旅游活动。利用</w:t>
      </w:r>
      <w:r>
        <w:t>具有新闻价值、社会影响以及名人效应的人物或事件吸引媒体</w:t>
      </w:r>
      <w:r>
        <w:rPr>
          <w:rFonts w:hint="eastAsia"/>
        </w:rPr>
        <w:t>、社会、大众</w:t>
      </w:r>
      <w:r>
        <w:t>的兴趣与关注，</w:t>
      </w:r>
      <w:r>
        <w:rPr>
          <w:rFonts w:hint="eastAsia"/>
        </w:rPr>
        <w:t>提高水城旅游</w:t>
      </w:r>
      <w:r>
        <w:t>知名度、美誉度</w:t>
      </w:r>
      <w:r>
        <w:rPr>
          <w:rFonts w:hint="eastAsia"/>
        </w:rPr>
        <w:t>。</w:t>
      </w:r>
    </w:p>
    <w:p>
      <w:pPr>
        <w:ind w:firstLine="640"/>
      </w:pPr>
      <w:r>
        <w:rPr>
          <w:rFonts w:hint="eastAsia"/>
          <w:bCs/>
        </w:rPr>
        <w:t>创新融媒体营销。</w:t>
      </w:r>
      <w:r>
        <w:rPr>
          <w:rFonts w:hint="eastAsia"/>
        </w:rPr>
        <w:t>充分利用新媒体、新技术和新手段来丰富营销渠道，加快推进传统媒体营销系统与新媒体营销系统的结合，实现融媒体营销，提升旅游市场营销的深度、广度和高度。组织省内外媒体、旅游达人、网络大咖、直播达人等赴水城进行旅游采风活动，利用抖音、快手、微信“看一看”、“视频号”等渠道预热和推广，制造和实现话题营销。加强水城旅游电子商务建设，与携程、途牛、去哪儿网、马蜂窝、抖音等热门平台合作，推出水城旅游线路和产品推荐页面，促进网络营销和销售转化。</w:t>
      </w:r>
    </w:p>
    <w:p>
      <w:pPr>
        <w:ind w:firstLine="640"/>
      </w:pPr>
      <w:r>
        <w:rPr>
          <w:rFonts w:hint="eastAsia"/>
          <w:bCs/>
        </w:rPr>
        <w:t>积极推进影视营销。</w:t>
      </w:r>
      <w:r>
        <w:rPr>
          <w:rFonts w:hint="eastAsia"/>
        </w:rPr>
        <w:t>依托全区自然山水，挖掘“三变”文化、历史文化、红色文化、民族文化，开展影视剧本创作和影视拍摄，推出一批影视作品，提升旅游营销水平和影响力。</w:t>
      </w:r>
    </w:p>
    <w:p>
      <w:pPr>
        <w:ind w:firstLine="0" w:firstLineChars="0"/>
        <w:jc w:val="center"/>
        <w:rPr>
          <w:b/>
          <w:bCs/>
        </w:rPr>
      </w:pPr>
      <w:r>
        <w:rPr>
          <w:rFonts w:hint="eastAsia"/>
          <w:b/>
          <w:bCs/>
        </w:rPr>
        <w:t>第六节 扎实开展旅游</w:t>
      </w:r>
      <w:r>
        <w:rPr>
          <w:b/>
          <w:bCs/>
        </w:rPr>
        <w:t>品牌创建</w:t>
      </w:r>
    </w:p>
    <w:p>
      <w:pPr>
        <w:ind w:firstLine="640"/>
      </w:pPr>
      <w:r>
        <w:rPr>
          <w:rFonts w:hint="eastAsia"/>
        </w:rPr>
        <w:t>开展景区创A行动，将全区2A级旅游景区升级创建成3A级旅游景区，将北盘江景区按照5A级旅游景区打造，米箩、花戛等景区创建4A级旅游景区。开展省级、国家级度假区创建行动，力争将百车河创建为国家级旅游度假区。</w:t>
      </w:r>
    </w:p>
    <w:p>
      <w:pPr>
        <w:ind w:firstLine="640"/>
      </w:pPr>
      <w:r>
        <w:rPr>
          <w:rFonts w:hint="eastAsia"/>
        </w:rPr>
        <w:t>实施乡村旅游品牌创建行动，打造一批重点乡村旅游村镇。</w:t>
      </w:r>
      <w:r>
        <w:t>结合全区民族文化现状，挖掘打造花戛天门布依风情游、海坪彝族风情游、陡箐土发苗族风情游等精品线路，形成省内知名民族</w:t>
      </w:r>
      <w:r>
        <w:rPr>
          <w:rFonts w:hint="eastAsia"/>
        </w:rPr>
        <w:t>文化</w:t>
      </w:r>
      <w:r>
        <w:t>旅游品牌。</w:t>
      </w:r>
      <w:r>
        <w:rPr>
          <w:rFonts w:hint="eastAsia"/>
        </w:rPr>
        <w:t>巩固提升野玉海国家级旅游度假区品牌质量，在野玉海省级森林康养试点基地基础上创建国家级森林康养基地，继续打响玉舍雪山滑雪品牌。</w:t>
      </w:r>
      <w:r>
        <w:t>推动水城春茶叶</w:t>
      </w:r>
      <w:r>
        <w:rPr>
          <w:rFonts w:hint="eastAsia"/>
        </w:rPr>
        <w:t>、</w:t>
      </w:r>
      <w:r>
        <w:t>刺梨、红心猕猴桃、荞茶、姜茶、食用菌、土豆片、桃花鸡、水</w:t>
      </w:r>
      <w:r>
        <w:rPr>
          <w:rFonts w:hint="eastAsia"/>
        </w:rPr>
        <w:t>城农民画、彝族、苗族、布依族、白族服饰等一批特色产品提升打造为旅游商品。</w:t>
      </w:r>
    </w:p>
    <w:p>
      <w:pPr>
        <w:spacing w:after="60"/>
        <w:ind w:firstLine="640"/>
      </w:pPr>
      <w:r>
        <w:rPr>
          <w:rFonts w:hint="eastAsia"/>
        </w:rPr>
        <w:t>支持和鼓励度假区、景区、民宿、酒店参与相关旅游标准认证，培育一批国家级重点乡村旅游村镇、标准级以上乡村旅游村寨、星级旅游经营户。推进农特产品“三品一标”创建和地理标志名产品申报，培育一批农特旅游商品品牌。</w:t>
      </w:r>
    </w:p>
    <w:p>
      <w:pPr>
        <w:pStyle w:val="2"/>
        <w:rPr>
          <w:rFonts w:eastAsiaTheme="minorEastAsia"/>
        </w:rPr>
      </w:pPr>
    </w:p>
    <w:p>
      <w:pPr>
        <w:pStyle w:val="4"/>
      </w:pPr>
    </w:p>
    <w:p>
      <w:pPr>
        <w:pStyle w:val="4"/>
      </w:pPr>
    </w:p>
    <w:p>
      <w:pPr>
        <w:pStyle w:val="4"/>
      </w:pPr>
    </w:p>
    <w:p>
      <w:pPr>
        <w:pStyle w:val="4"/>
      </w:pPr>
    </w:p>
    <w:p>
      <w:pPr>
        <w:pStyle w:val="4"/>
      </w:pPr>
    </w:p>
    <w:tbl>
      <w:tblPr>
        <w:tblStyle w:val="15"/>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441"/>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8804" w:type="dxa"/>
            <w:gridSpan w:val="3"/>
          </w:tcPr>
          <w:p>
            <w:pPr>
              <w:spacing w:line="400" w:lineRule="exact"/>
              <w:ind w:left="-3" w:leftChars="-4" w:hanging="10" w:hangingChars="4"/>
              <w:jc w:val="center"/>
              <w:rPr>
                <w:rFonts w:ascii="楷体" w:hAnsi="楷体" w:eastAsia="楷体"/>
                <w:bCs/>
                <w:sz w:val="26"/>
                <w:szCs w:val="26"/>
              </w:rPr>
            </w:pPr>
            <w:r>
              <w:rPr>
                <w:rFonts w:hint="eastAsia" w:ascii="楷体" w:hAnsi="楷体" w:eastAsia="楷体"/>
                <w:bCs/>
                <w:sz w:val="26"/>
                <w:szCs w:val="26"/>
              </w:rPr>
              <w:t>专栏22 旅游品牌创建计划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746" w:type="dxa"/>
            <w:shd w:val="clear" w:color="auto" w:fill="auto"/>
            <w:noWrap/>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品牌</w:t>
            </w:r>
          </w:p>
        </w:tc>
        <w:tc>
          <w:tcPr>
            <w:tcW w:w="2441" w:type="dxa"/>
            <w:shd w:val="clear" w:color="auto" w:fill="auto"/>
            <w:noWrap/>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等级</w:t>
            </w:r>
          </w:p>
        </w:tc>
        <w:tc>
          <w:tcPr>
            <w:tcW w:w="4617" w:type="dxa"/>
            <w:shd w:val="clear" w:color="auto" w:fill="auto"/>
            <w:noWrap/>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A级旅游景区</w:t>
            </w:r>
          </w:p>
        </w:tc>
        <w:tc>
          <w:tcPr>
            <w:tcW w:w="2441" w:type="dxa"/>
            <w:shd w:val="clear" w:color="auto" w:fill="auto"/>
            <w:noWrap/>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5A</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配合市级，做好北盘江大峡谷5A级景区创建启动工作。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4A</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龙场白族风情小镇、花戛天门村、米箩景区。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3A</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北盘江高家渡景区、滴水岩景区、真龙山景区、木城景区、院坝核桃园景区。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旅游度假区</w:t>
            </w: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国家级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百车河旅游度假区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省级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龙场白族风情小镇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乡村旅游重点村镇</w:t>
            </w: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国家级</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海坪村、天门村、倮么村、发堤村、平箐村、海坪街道办、营盘乡、米箩镇、龙场乡。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省级</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二台村、大元村、格支村、补那村等8个村、猴场乡、蟠龙镇。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市级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旅游村寨</w:t>
            </w: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甲级</w:t>
            </w:r>
          </w:p>
        </w:tc>
        <w:tc>
          <w:tcPr>
            <w:tcW w:w="4617" w:type="dxa"/>
            <w:shd w:val="clear" w:color="auto" w:fill="auto"/>
            <w:vAlign w:val="center"/>
          </w:tcPr>
          <w:p>
            <w:pPr>
              <w:widowControl/>
              <w:spacing w:line="280" w:lineRule="exact"/>
              <w:ind w:firstLine="0" w:firstLineChars="0"/>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二台村、高峰村、大元村、格支村等15个。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乙级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农家乐</w:t>
            </w: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五星级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每年至少1家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b/>
                <w:bCs/>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四星级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每年至少1家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restart"/>
            <w:shd w:val="clear" w:color="auto" w:fill="auto"/>
            <w:vAlign w:val="center"/>
          </w:tcPr>
          <w:p>
            <w:pPr>
              <w:widowControl/>
              <w:spacing w:line="280" w:lineRule="exact"/>
              <w:ind w:firstLine="0" w:firstLineChars="0"/>
              <w:jc w:val="center"/>
              <w:rPr>
                <w:rFonts w:ascii="楷体_GB2312" w:hAnsi="仿宋" w:eastAsia="楷体_GB2312" w:cs="宋体"/>
                <w:b/>
                <w:bCs/>
                <w:color w:val="000000"/>
                <w:kern w:val="0"/>
                <w:sz w:val="21"/>
                <w:szCs w:val="21"/>
              </w:rPr>
            </w:pPr>
            <w:r>
              <w:rPr>
                <w:rFonts w:hint="eastAsia" w:ascii="楷体_GB2312" w:hAnsi="仿宋" w:eastAsia="楷体_GB2312" w:cs="宋体"/>
                <w:b/>
                <w:bCs/>
                <w:color w:val="000000"/>
                <w:kern w:val="0"/>
                <w:sz w:val="21"/>
                <w:szCs w:val="21"/>
              </w:rPr>
              <w:t>客栈/民宿</w:t>
            </w: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精品级/五星级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每年至少1家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46" w:type="dxa"/>
            <w:vMerge w:val="continue"/>
            <w:vAlign w:val="center"/>
          </w:tcPr>
          <w:p>
            <w:pPr>
              <w:widowControl/>
              <w:spacing w:line="280" w:lineRule="exact"/>
              <w:ind w:firstLine="0" w:firstLineChars="0"/>
              <w:jc w:val="left"/>
              <w:rPr>
                <w:rFonts w:ascii="楷体_GB2312" w:hAnsi="仿宋" w:eastAsia="楷体_GB2312" w:cs="宋体"/>
                <w:color w:val="000000"/>
                <w:kern w:val="0"/>
                <w:sz w:val="21"/>
                <w:szCs w:val="21"/>
              </w:rPr>
            </w:pPr>
          </w:p>
        </w:tc>
        <w:tc>
          <w:tcPr>
            <w:tcW w:w="2441"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优品级/四星级</w:t>
            </w:r>
          </w:p>
        </w:tc>
        <w:tc>
          <w:tcPr>
            <w:tcW w:w="4617" w:type="dxa"/>
            <w:shd w:val="clear" w:color="auto" w:fill="auto"/>
            <w:vAlign w:val="center"/>
          </w:tcPr>
          <w:p>
            <w:pPr>
              <w:widowControl/>
              <w:spacing w:line="280" w:lineRule="exact"/>
              <w:ind w:firstLine="0" w:firstLineChars="0"/>
              <w:jc w:val="center"/>
              <w:rPr>
                <w:rFonts w:ascii="楷体_GB2312" w:hAnsi="仿宋" w:eastAsia="楷体_GB2312" w:cs="宋体"/>
                <w:color w:val="000000"/>
                <w:kern w:val="0"/>
                <w:sz w:val="21"/>
                <w:szCs w:val="21"/>
              </w:rPr>
            </w:pPr>
            <w:r>
              <w:rPr>
                <w:rFonts w:hint="eastAsia" w:ascii="楷体_GB2312" w:hAnsi="仿宋" w:eastAsia="楷体_GB2312" w:cs="宋体"/>
                <w:color w:val="000000"/>
                <w:kern w:val="0"/>
                <w:sz w:val="21"/>
                <w:szCs w:val="21"/>
              </w:rPr>
              <w:t>每年至少1家</w:t>
            </w:r>
          </w:p>
        </w:tc>
      </w:tr>
    </w:tbl>
    <w:p>
      <w:pPr>
        <w:pStyle w:val="6"/>
        <w:spacing w:before="222"/>
      </w:pPr>
      <w:bookmarkStart w:id="81" w:name="_Toc63250069"/>
      <w:r>
        <w:rPr>
          <w:rFonts w:hint="eastAsia"/>
        </w:rPr>
        <w:t>第二十章 加快发展现代物流业</w:t>
      </w:r>
      <w:bookmarkEnd w:id="81"/>
    </w:p>
    <w:p>
      <w:pPr>
        <w:spacing w:line="570" w:lineRule="exact"/>
        <w:ind w:firstLine="640"/>
      </w:pPr>
      <w:r>
        <w:rPr>
          <w:rFonts w:hint="eastAsia"/>
        </w:rPr>
        <w:t>加快物流产业平台建设，大力发展大宗商品物流、生产物流、消费物流等业态，完善城乡物流网络，加快构建便捷高效的现代物流体系。</w:t>
      </w:r>
    </w:p>
    <w:p>
      <w:pPr>
        <w:spacing w:line="570" w:lineRule="exact"/>
        <w:ind w:firstLine="0" w:firstLineChars="0"/>
        <w:jc w:val="center"/>
        <w:rPr>
          <w:b/>
          <w:bCs/>
        </w:rPr>
      </w:pPr>
      <w:r>
        <w:rPr>
          <w:rFonts w:hint="eastAsia"/>
          <w:b/>
          <w:bCs/>
        </w:rPr>
        <w:t>第一节 加快构建现代物流体系</w:t>
      </w:r>
    </w:p>
    <w:p>
      <w:pPr>
        <w:spacing w:line="570" w:lineRule="exact"/>
        <w:ind w:firstLine="640"/>
      </w:pPr>
      <w:r>
        <w:rPr>
          <w:rFonts w:hint="eastAsia"/>
        </w:rPr>
        <w:t>全方位发展现代物流业，打造“园区+企业+项目+信息化”的综合物流业发展模式。积极融入西部陆海新通道物流网络，加快建设枢纽物流园区，加快建设高铁东站物流中心、水城经开区物流产业基地，加快建设贵州西部陆海综合物流港。立足六盘水、服务云贵川地区、辐射西南片区，新建大宗货运集散点（包含煤焦产品、铝及铝产品、建材、钢材、煤化工产品、农资产品等其它产品及</w:t>
      </w:r>
      <w:r>
        <w:t>B型保税仓储物流中心等）。</w:t>
      </w:r>
      <w:r>
        <w:rPr>
          <w:rFonts w:hint="eastAsia"/>
        </w:rPr>
        <w:t>打造西南地区优质煤炭配送中心、大型现代化煤炭物流园和西南地区应急储煤基地，逐步实现从材料生产向城市建设综合服务转变。推进“引金入黔”工程，建设水城中联现代商贸物流枢纽产业城。大力引进和培育一批服务水平高、竞争能力强的综合化、一体化、社会化、信息化的第三方、第四方现代物流企业，建设标准化云仓体系。推进农产品商贸流通各环节标准化作业，为农产品商贸流通及物流仓配提供高效服务。构建大商贸、大物流、大市场、大开放的物流发展格局，提升区域物流中心功能，将水城区打造为贵州西部商贸物流中心。到</w:t>
      </w:r>
      <w:r>
        <w:t>2025年，实现产值</w:t>
      </w:r>
      <w:r>
        <w:rPr>
          <w:rFonts w:hint="eastAsia"/>
        </w:rPr>
        <w:t>20.5</w:t>
      </w:r>
      <w:r>
        <w:t>亿元</w:t>
      </w:r>
      <w:r>
        <w:rPr>
          <w:rFonts w:hint="eastAsia"/>
        </w:rPr>
        <w:t>。</w:t>
      </w:r>
    </w:p>
    <w:p>
      <w:pPr>
        <w:ind w:firstLine="0" w:firstLineChars="0"/>
        <w:jc w:val="center"/>
        <w:rPr>
          <w:b/>
          <w:bCs/>
        </w:rPr>
      </w:pPr>
      <w:r>
        <w:rPr>
          <w:rFonts w:hint="eastAsia"/>
          <w:b/>
          <w:bCs/>
        </w:rPr>
        <w:t>第二节 完善城乡物流服务网络</w:t>
      </w:r>
    </w:p>
    <w:p>
      <w:pPr>
        <w:spacing w:after="120"/>
        <w:ind w:firstLine="640"/>
      </w:pPr>
      <w:r>
        <w:rPr>
          <w:rFonts w:hint="eastAsia"/>
        </w:rPr>
        <w:t>加快构建城乡一体化的现代物流配送网络，打造便利、快捷、高效的城乡配送物流体系。推进智慧物流建设，推动公共政务和物流资源整合，搭建物流、商流、信息流、资金流、技术流为一体的物流综合服务信息平台。构建以物流园区、配送中心为节点，配送公共信息平台为支撑的优质、高效、安全、快捷的城乡配送体系。围绕重点产业建设多元产业冷链物流中心，大力发展公路、铁路、航空运输、公铁联运、快递物流、仓储物流等多种物流形态，提升多式联运能力，完善城区和重点集镇物流配送网络体系。构建“仓储</w:t>
      </w:r>
      <w:r>
        <w:t>+干支线运输+城市配送”一体化冷链物流网络，发展“冷链配送+连锁零售”</w:t>
      </w:r>
      <w:r>
        <w:rPr>
          <w:rFonts w:hint="eastAsia"/>
        </w:rPr>
        <w:t>、</w:t>
      </w:r>
      <w:r>
        <w:t>“生鲜电商+冷链宅配”</w:t>
      </w:r>
      <w:r>
        <w:rPr>
          <w:rFonts w:hint="eastAsia"/>
        </w:rPr>
        <w:t>、</w:t>
      </w:r>
      <w:r>
        <w:t>“中央厨房+食材宅配”</w:t>
      </w:r>
      <w:r>
        <w:rPr>
          <w:rFonts w:hint="eastAsia"/>
        </w:rPr>
        <w:t>、</w:t>
      </w:r>
      <w:r>
        <w:t>“生产基地+电商+冷链快递+智能菜柜”等新型业态模式。</w:t>
      </w:r>
      <w:r>
        <w:rPr>
          <w:rFonts w:hint="eastAsia"/>
        </w:rPr>
        <w:t>依托水城中心城区建设六盘水市快递物流集散中心和旅游商品集散中心。加强农村物流网点建设，构建和完善农村物流配送体系，增强农村商品配送能力，实施“快递下乡”工程。鼓励和支持连锁经营企业、物流配送企业、电子商务企业等拓展农村市场，推动农村物流网络与城市配送网络有效衔接，畅通城乡双向物流通道。围绕新型城镇发展理念，完善物流配套设施，促进产城融合，开拓现代物流发展新思路。</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23</w:t>
            </w:r>
            <w:r>
              <w:rPr>
                <w:rFonts w:hint="eastAsia" w:ascii="楷体" w:hAnsi="楷体" w:eastAsia="楷体"/>
                <w:sz w:val="26"/>
                <w:szCs w:val="26"/>
              </w:rPr>
              <w:t xml:space="preserve"> 物流业发展重点项目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枢纽物流园区</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经开区西部陆海综合物流园、发耳园区现代物流中心、老鹰山片区煤炭物流园、水城中联现代商贸物流枢纽产业城、水城综合物流园、滥坝铁路物流园、发耳矿产品物流园、水城经开区铝合金产业物流园、水城电商云仓配送中心、六盘水市快递物流集散中心、六盘水东部冷链物流服务中心、水城尖山物流交易运转中心、水城民用物资仓储中心等项目建设，水城经开区刺梨产业冷链物流中心项目，初好冷链中心项目，水城粮油储备库暨粮油产业物流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乡镇配送中心</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重点实施比德配送中心、勺米配送中心、鸡场配送中心、龙场配送中心、野钟配送中心、猴场配送中心等项目建设。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789" w:type="dxa"/>
          </w:tcPr>
          <w:p>
            <w:pPr>
              <w:spacing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多式联运</w:t>
            </w:r>
          </w:p>
          <w:p>
            <w:pPr>
              <w:spacing w:line="280" w:lineRule="exact"/>
              <w:ind w:firstLine="420"/>
              <w:rPr>
                <w:sz w:val="28"/>
                <w:szCs w:val="28"/>
              </w:rPr>
            </w:pPr>
            <w:r>
              <w:rPr>
                <w:rFonts w:hint="eastAsia" w:ascii="楷体_GB2312" w:eastAsia="楷体_GB2312"/>
                <w:sz w:val="21"/>
                <w:szCs w:val="21"/>
              </w:rPr>
              <w:t>重点推进水城经开区物流公共信息平台、六盘水东部智慧物流服务中心、水城经开区产业融合发展产业园、水城公共配送中心等项目建设。</w:t>
            </w:r>
          </w:p>
        </w:tc>
      </w:tr>
    </w:tbl>
    <w:p>
      <w:pPr>
        <w:pStyle w:val="6"/>
        <w:spacing w:before="222"/>
      </w:pPr>
      <w:bookmarkStart w:id="82" w:name="_Toc63250070"/>
      <w:r>
        <w:rPr>
          <w:rFonts w:hint="eastAsia"/>
        </w:rPr>
        <w:t>第二十一章 大力发展现代服务业</w:t>
      </w:r>
      <w:bookmarkEnd w:id="82"/>
    </w:p>
    <w:p>
      <w:pPr>
        <w:ind w:firstLine="640"/>
      </w:pPr>
      <w:r>
        <w:rPr>
          <w:rFonts w:hint="eastAsia"/>
        </w:rPr>
        <w:t>深入实施服务业创新发展十大工程，推动生产性服务业向专业价值链高端延伸、生活性服务业向高品质多样化升级。以水城城区和发耳为中心，以乡镇为重点，有序推进现代服务业发展新格局。</w:t>
      </w:r>
    </w:p>
    <w:p>
      <w:pPr>
        <w:spacing w:line="570" w:lineRule="exact"/>
        <w:ind w:firstLine="0" w:firstLineChars="0"/>
        <w:jc w:val="center"/>
        <w:rPr>
          <w:b/>
          <w:bCs/>
        </w:rPr>
      </w:pPr>
      <w:r>
        <w:rPr>
          <w:rFonts w:hint="eastAsia"/>
          <w:b/>
          <w:bCs/>
        </w:rPr>
        <w:t>第一节 优化服务业发展布局</w:t>
      </w:r>
    </w:p>
    <w:p>
      <w:pPr>
        <w:ind w:firstLine="640"/>
      </w:pPr>
      <w:r>
        <w:rPr>
          <w:rFonts w:hint="eastAsia"/>
        </w:rPr>
        <w:t>培育服务业新增长点，增强跨行业、跨区域辐射能力，重点加强对文化旅游业、现代物流业、中小企业金融保险服务等行业的扶持。围绕重点产业板块发展需求，培育发展第三方检验检测和认证服务机构。扶持一批具有跨行业、跨区域辐射能力的龙头企业。</w:t>
      </w:r>
    </w:p>
    <w:p>
      <w:pPr>
        <w:ind w:firstLine="640"/>
      </w:pPr>
      <w:r>
        <w:rPr>
          <w:rFonts w:hint="eastAsia"/>
        </w:rPr>
        <w:t>水城中心城区重点发展旅游集散、文化体育、休闲娱乐、餐饮住宿、会议会展、交通运输、电子商务等服务业。水城经开区重点发展节能减排、商贸物流、广告咨询、信息服务等生产性服务业和适应产城融合发展的生活性服务业，打造以焦炭、煤炭、大宗工业产品为主的仓储物流中心和铝合金产业物流园。各乡镇围绕城镇发展、资源条件、产业基础的情况，大力发展城镇生产生活性服务业。</w:t>
      </w:r>
    </w:p>
    <w:p>
      <w:pPr>
        <w:ind w:firstLine="640"/>
      </w:pPr>
      <w:r>
        <w:rPr>
          <w:rFonts w:hint="eastAsia"/>
        </w:rPr>
        <w:t>按照“组团发展、配套发展、差异发展”的要求，大力发展旅游地产、康养地产和文化地产。发展连锁经营，加快住宿餐饮业发展。促进批发零售与物流业融合发展，推动大型商场、批发市场与电子商务结合，实现线上线下互动发展。</w:t>
      </w:r>
    </w:p>
    <w:p>
      <w:pPr>
        <w:spacing w:line="570" w:lineRule="exact"/>
        <w:ind w:firstLine="0" w:firstLineChars="0"/>
        <w:jc w:val="center"/>
        <w:rPr>
          <w:b/>
          <w:bCs/>
        </w:rPr>
      </w:pPr>
      <w:r>
        <w:rPr>
          <w:rFonts w:hint="eastAsia"/>
          <w:b/>
          <w:bCs/>
        </w:rPr>
        <w:t>第二节 加快发展现代金融服务业</w:t>
      </w:r>
    </w:p>
    <w:p>
      <w:pPr>
        <w:ind w:firstLine="640"/>
      </w:pPr>
      <w:r>
        <w:rPr>
          <w:rFonts w:hint="eastAsia"/>
        </w:rPr>
        <w:t>积极推动形成多层次、广覆盖、有差异的现代金融服务体系，全面完成农信社改制，做大做强政策性融资担保公司，规范其他地方金融组织。大力发展绿色金融、普惠金融、科技金融、产业金融，引导金融机构加大对新兴产业、“三农”领域、民生领域、民营经济和小微企业的信贷支持。鼓励保险机构开办农业保险、巨灾保险等产品，充分发挥保险经济“减震器”和社会“稳定器”作用。推进资本市场建设，推动符合条件企业进入多层次资本市场融资发展。健全完善金融稳定工作协调机制，持续深入开展银行机构不良贷款、互联网金融、交易场所、非法集资等领域的风险排查监测和处置预警，坚决打击各类违法违规金融活动，牢牢守住不发生区域性风险、不引发系统性风险的底线。</w:t>
      </w:r>
    </w:p>
    <w:p>
      <w:pPr>
        <w:spacing w:line="570" w:lineRule="exact"/>
        <w:ind w:firstLine="0" w:firstLineChars="0"/>
        <w:jc w:val="center"/>
        <w:rPr>
          <w:b/>
          <w:bCs/>
        </w:rPr>
      </w:pPr>
      <w:r>
        <w:rPr>
          <w:rFonts w:hint="eastAsia"/>
          <w:b/>
          <w:bCs/>
        </w:rPr>
        <w:t>第三节 加快发展现代商贸和会展业</w:t>
      </w:r>
    </w:p>
    <w:p>
      <w:pPr>
        <w:ind w:firstLine="640"/>
      </w:pPr>
      <w:r>
        <w:rPr>
          <w:rFonts w:hint="eastAsia"/>
        </w:rPr>
        <w:t>大力发展现代经营业态，优化结构，扩大开放，构建线上、线下协同发展的商贸服务体系。形成</w:t>
      </w:r>
      <w:r>
        <w:t>1个城市商业中心、若干个区域商业中心、1个城市副中心（发耳）、多个特色商业小城镇的格局</w:t>
      </w:r>
      <w:r>
        <w:rPr>
          <w:rFonts w:hint="eastAsia"/>
        </w:rPr>
        <w:t>。在中心城区布局完善一批专业批发交易市场、生产资料市场、供销连锁经营、大型商超、零售店、餐饮、酒店等商业网点，重点打造一批特色商业街。实施双水城区核心商圈提质升级，打造布局合理、管理规范、功能完善的城市夜晚地标。完善农村商业服务网点，支持大型商贸企业连锁超市在农村布点，健全农产品购销、农村日用消费品和农村生产资料供应网络，加强移民搬迁点商贸流通配套设施建设，构建城乡一体化的商贸流通网络。利用物联网、大数据、人工智能等技术手段，不断推进商业模式创新，支持实体店通过互联网展示销售商品和服务，提升线下体验、配送和售后等服务，推动传统批发零售渠道网络化，形成线上线下融合发展流通体系。大力发展平台经济，支持优秀的本土电商平台及电商企业发展壮大，用好直播、众筹、定制等电商新模式，推进猕猴桃、茶叶、刺梨、羊肉粉等本土特色电商产品向外拓展市场，同时大力推动社区电商，提升社区居民生活便捷度，建设电商科技创业孵化园，面向社会提供电商创业就业服务。加快会展场馆及配套服务设施建设，不断提高会展服务能力和品质。依托各类会议平台，发展一批专业化本地会展企业，推动会展业关联企业、专业化供应商、服务供应商等发展。</w:t>
      </w:r>
    </w:p>
    <w:p>
      <w:pPr>
        <w:pStyle w:val="2"/>
        <w:rPr>
          <w:rFonts w:eastAsiaTheme="minorEastAsia"/>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24</w:t>
            </w:r>
            <w:r>
              <w:rPr>
                <w:rFonts w:hint="eastAsia" w:ascii="楷体" w:hAnsi="楷体" w:eastAsia="楷体"/>
                <w:sz w:val="26"/>
                <w:szCs w:val="26"/>
              </w:rPr>
              <w:t xml:space="preserve"> 商贸行业发展重点项目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城市商贸重点项目</w:t>
            </w:r>
          </w:p>
          <w:p>
            <w:pPr>
              <w:spacing w:before="60" w:line="280" w:lineRule="exact"/>
              <w:ind w:firstLine="420"/>
              <w:rPr>
                <w:rFonts w:ascii="楷体" w:hAnsi="楷体" w:eastAsia="楷体"/>
                <w:sz w:val="26"/>
                <w:szCs w:val="26"/>
              </w:rPr>
            </w:pPr>
            <w:r>
              <w:rPr>
                <w:rFonts w:hint="eastAsia" w:ascii="楷体_GB2312" w:eastAsia="楷体_GB2312"/>
                <w:sz w:val="21"/>
                <w:szCs w:val="21"/>
              </w:rPr>
              <w:t>重点实施双水城区商业综合步行街、高铁东站综合集贸市场项目建设。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城乡商贸服务项目</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重点实施水城经开区农特产品交易中心、水城猕猴桃专业市场项目、六盘水东部城区汽车交易市场、六盘水东部城区粮油批发市场、发耳果蔬集散中心。建成连锁便利店100个，农贸市场标准化升级改造23个。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会展服务项目</w:t>
            </w:r>
          </w:p>
          <w:p>
            <w:pPr>
              <w:spacing w:line="280" w:lineRule="exact"/>
              <w:ind w:firstLine="420"/>
              <w:rPr>
                <w:sz w:val="28"/>
                <w:szCs w:val="28"/>
              </w:rPr>
            </w:pPr>
            <w:r>
              <w:rPr>
                <w:rFonts w:hint="eastAsia" w:ascii="楷体_GB2312" w:eastAsia="楷体_GB2312"/>
                <w:sz w:val="21"/>
                <w:szCs w:val="21"/>
              </w:rPr>
              <w:t>重点推进水城特色产品会展中心、百车河大型会展中心。</w:t>
            </w:r>
          </w:p>
        </w:tc>
      </w:tr>
    </w:tbl>
    <w:p>
      <w:pPr>
        <w:spacing w:line="570" w:lineRule="exact"/>
        <w:ind w:firstLine="0" w:firstLineChars="0"/>
        <w:jc w:val="center"/>
        <w:rPr>
          <w:b/>
          <w:bCs/>
        </w:rPr>
      </w:pPr>
      <w:r>
        <w:rPr>
          <w:rFonts w:hint="eastAsia"/>
          <w:b/>
          <w:bCs/>
        </w:rPr>
        <w:t>第四节 加快发展生产性服务业</w:t>
      </w:r>
    </w:p>
    <w:p>
      <w:pPr>
        <w:spacing w:line="570" w:lineRule="exact"/>
        <w:ind w:firstLine="640"/>
      </w:pPr>
      <w:r>
        <w:rPr>
          <w:rFonts w:hint="eastAsia"/>
        </w:rPr>
        <w:t>加快科技服务产业发展，以节能环保、设计咨询、检验检测为重点，构建特色化科技服务产业链，推进煤炭开采、能源化工、装备制造、建筑建材、特色轻工等行业科技服务业发展。积极发展研发设计、检验检测、知识产权、创新孵化、技术转让、科技咨询、科技金融等科技服务业。加快发展会计、律师、评估、经纪、代理等中介服务。依托产业优势，积极发展服务型制造，提供定制化农特产品、工业产品以及旅游服务等。围绕特色产业发展需求，积极引进和培育第三方检验检测品牌机构，发展第三方检验检测认证服务，建设农产品质量检验检测中心、食品药品检验检测中心等项目。引导生产性服务业在中心城区、制造业集中区域、现代农业产业基地以及有条件的城镇集聚。加快人力资源产业发展，努力把水城区打造成六盘水市重要的人力资源服务集聚区，有效提升劳动者素质和人力资源配置效率。</w:t>
      </w:r>
    </w:p>
    <w:p>
      <w:pPr>
        <w:spacing w:line="570" w:lineRule="exact"/>
        <w:ind w:firstLine="0" w:firstLineChars="0"/>
        <w:jc w:val="center"/>
        <w:rPr>
          <w:b/>
          <w:bCs/>
        </w:rPr>
      </w:pPr>
      <w:r>
        <w:rPr>
          <w:rFonts w:hint="eastAsia"/>
          <w:b/>
          <w:bCs/>
        </w:rPr>
        <w:t>第五节 大力发展生活性服务业</w:t>
      </w:r>
    </w:p>
    <w:p>
      <w:pPr>
        <w:spacing w:line="570" w:lineRule="exact"/>
        <w:ind w:firstLine="640"/>
      </w:pPr>
      <w:r>
        <w:rPr>
          <w:rFonts w:hint="eastAsia"/>
        </w:rPr>
        <w:t>坚持“聚集化、多元化、特色化、品牌化”方向，满足广大人民群众日益增长的文化休闲娱乐需求，促进休闲娱乐业发展。进一步完善便民服务站点布局，发展社区养老、托幼、婴幼儿看护、早教、保洁、洗染等服务业。加快建立供给充分、服务便捷、管理规范、惠及城乡的家政服务体系，着力提升社区照料服务、家庭医生、家庭用品配送和维修等家庭生活性服务业质量。合理布局一批惠民超市和生鲜便利店，建设社区配送中心及配送终端，推进集快递、商业、生活、政务等服务功能于一体的社区智慧服务平台建设，为居民提供各类精准生活服务。积极发展研发设计、法律服务、知识产权、创新孵化、电商等服务业。加快发展教育培训、托育、家政、物业等服务业。着力提升住宿业发展质量，鼓励引导热点景区周边乡村建设特色客栈、民宿、度假村，提升餐饮质量和服务质量，促进住宿餐饮业优化升级，支持餐饮集团联盟发展，支持发展凉都特色生态餐饮。加快发展生态型养生养老健康产业，深化“医养康旅”模式，打造西南地区知名养老养生高地。</w:t>
      </w:r>
      <w:r>
        <w:br w:type="page"/>
      </w:r>
    </w:p>
    <w:p>
      <w:pPr>
        <w:pStyle w:val="5"/>
      </w:pPr>
      <w:bookmarkStart w:id="83" w:name="_Toc63250071"/>
      <w:r>
        <w:rPr>
          <w:rFonts w:hint="eastAsia"/>
        </w:rPr>
        <w:t>第七篇 坚持创新驱动发展，高质量培育新优势壮大新动能</w:t>
      </w:r>
      <w:bookmarkEnd w:id="83"/>
    </w:p>
    <w:p>
      <w:pPr>
        <w:ind w:firstLine="640"/>
      </w:pPr>
      <w:r>
        <w:rPr>
          <w:rFonts w:hint="eastAsia"/>
        </w:rPr>
        <w:t>坚持创新在现代化建设全局中的核心地位，把科技创新作为推动发展的战略支撑，大力发展数字经济，推动大数据与实体经济深度融合，积极打造“数字水城”。</w:t>
      </w:r>
    </w:p>
    <w:p>
      <w:pPr>
        <w:pStyle w:val="6"/>
        <w:spacing w:before="222"/>
      </w:pPr>
      <w:bookmarkStart w:id="84" w:name="_Toc63250072"/>
      <w:r>
        <w:rPr>
          <w:rFonts w:hint="eastAsia"/>
        </w:rPr>
        <w:t>第二十二章 推进大数据产业发展</w:t>
      </w:r>
      <w:bookmarkEnd w:id="84"/>
    </w:p>
    <w:p>
      <w:pPr>
        <w:spacing w:line="570" w:lineRule="exact"/>
        <w:ind w:firstLine="640"/>
      </w:pPr>
      <w:r>
        <w:rPr>
          <w:rFonts w:hint="eastAsia"/>
        </w:rPr>
        <w:t>顺应数字时代特征，迎接数字产业挑战，大力发展数字经济，积极打造“数字水城”。以产业数字化和生活数字化为核心，聚焦数字经济发展“六个重大突破”，突出数字化赋能产业转型升级，大力发展物联网与工业融合应用，推动工业生产制造全流程和全产业链数字化、网络化、智能化改造，提升生产经营管理数字化水平。到</w:t>
      </w:r>
      <w:r>
        <w:t>2025年，</w:t>
      </w:r>
      <w:r>
        <w:rPr>
          <w:rFonts w:hint="eastAsia"/>
        </w:rPr>
        <w:t>大数据产业</w:t>
      </w:r>
      <w:r>
        <w:t>实现产值</w:t>
      </w:r>
      <w:r>
        <w:rPr>
          <w:rFonts w:hint="eastAsia"/>
        </w:rPr>
        <w:t>50</w:t>
      </w:r>
      <w:r>
        <w:t>亿元</w:t>
      </w:r>
      <w:r>
        <w:rPr>
          <w:rFonts w:hint="eastAsia"/>
        </w:rPr>
        <w:t>。</w:t>
      </w:r>
    </w:p>
    <w:p>
      <w:pPr>
        <w:spacing w:line="570" w:lineRule="exact"/>
        <w:ind w:firstLine="0" w:firstLineChars="0"/>
        <w:jc w:val="center"/>
        <w:rPr>
          <w:b/>
          <w:bCs/>
        </w:rPr>
      </w:pPr>
      <w:r>
        <w:rPr>
          <w:rFonts w:hint="eastAsia"/>
          <w:b/>
          <w:bCs/>
        </w:rPr>
        <w:t>第一节 加快推进数字化应用</w:t>
      </w:r>
    </w:p>
    <w:p>
      <w:pPr>
        <w:spacing w:line="570" w:lineRule="exact"/>
        <w:ind w:firstLine="640"/>
      </w:pPr>
      <w:r>
        <w:rPr>
          <w:rFonts w:hint="eastAsia"/>
        </w:rPr>
        <w:t>面向农业、能源、物流等重要领域，加快</w:t>
      </w:r>
      <w:r>
        <w:t>建设一批数字经济示范应用场景</w:t>
      </w:r>
      <w:r>
        <w:rPr>
          <w:rFonts w:hint="eastAsia"/>
        </w:rPr>
        <w:t>。推进智慧交通、充电桩、</w:t>
      </w:r>
      <w:r>
        <w:t>智慧政务、</w:t>
      </w:r>
      <w:r>
        <w:rPr>
          <w:rFonts w:hint="eastAsia"/>
        </w:rPr>
        <w:t>电子商务、智慧社区</w:t>
      </w:r>
      <w:r>
        <w:t>、</w:t>
      </w:r>
      <w:r>
        <w:rPr>
          <w:rFonts w:hint="eastAsia"/>
        </w:rPr>
        <w:t>智慧医疗、</w:t>
      </w:r>
      <w:r>
        <w:t>智慧</w:t>
      </w:r>
      <w:r>
        <w:rPr>
          <w:rFonts w:hint="eastAsia"/>
        </w:rPr>
        <w:t>城管、智慧旅游、智慧水务、智慧消防</w:t>
      </w:r>
      <w:r>
        <w:t>等</w:t>
      </w:r>
      <w:r>
        <w:rPr>
          <w:rFonts w:hint="eastAsia"/>
        </w:rPr>
        <w:t>平台</w:t>
      </w:r>
      <w:r>
        <w:t>建设，推动传统基础设施数字化赋能改造。</w:t>
      </w:r>
      <w:r>
        <w:rPr>
          <w:rFonts w:hint="eastAsia"/>
        </w:rPr>
        <w:t>在水城经开区、双水等城区加快建设城市智能</w:t>
      </w:r>
      <w:r>
        <w:t>WiFi、5G项目</w:t>
      </w:r>
      <w:r>
        <w:rPr>
          <w:rFonts w:hint="eastAsia"/>
        </w:rPr>
        <w:t>，协调实施无线网</w:t>
      </w:r>
      <w:r>
        <w:t>5G二期城区主设备建设</w:t>
      </w:r>
      <w:r>
        <w:rPr>
          <w:rFonts w:hint="eastAsia"/>
        </w:rPr>
        <w:t>。</w:t>
      </w:r>
    </w:p>
    <w:p>
      <w:pPr>
        <w:spacing w:line="570" w:lineRule="exact"/>
        <w:ind w:firstLine="640"/>
      </w:pPr>
      <w:r>
        <w:t>加快企业数字化赋能，</w:t>
      </w:r>
      <w:r>
        <w:rPr>
          <w:rFonts w:hint="eastAsia"/>
        </w:rPr>
        <w:t>以水城经开区等园区为依托，发展工业物联网和“智慧企业”平台，推动玄武岩互联网产业基地、林区监控系统智慧中心、煤炭产品综合信息化管理系统、大健康数据中心等重点项目，融合信息技术、工业技术和管理技术，使园区入驻企业用电、用水、用工、管理等集成化、信息化、智慧化。</w:t>
      </w:r>
      <w:r>
        <w:t>鼓励线上教育、在线医疗、远程办公等新业态发展。</w:t>
      </w:r>
      <w:r>
        <w:rPr>
          <w:rFonts w:hint="eastAsia"/>
        </w:rPr>
        <w:t>依托产业基础，重点发展公共事业、公共安全、城市管理等相关领域物联网示范项目，在实施联通</w:t>
      </w:r>
      <w:r>
        <w:t>NB-IoT网络全域覆盖项目的基础上，加快实施智能水表项目、智慧停车项目、智慧路灯项目、智能燃气表项目、智慧消防项目和智能电梯项目。</w:t>
      </w:r>
    </w:p>
    <w:p>
      <w:pPr>
        <w:spacing w:line="570" w:lineRule="exact"/>
        <w:ind w:firstLine="640"/>
      </w:pPr>
      <w:r>
        <w:rPr>
          <w:rFonts w:hint="eastAsia"/>
        </w:rPr>
        <w:t>加快</w:t>
      </w:r>
      <w:r>
        <w:t>5G网络、数字化融合改造、创新研发平台等数字化基础设施建设，进一步释放公共数据资源的经济价值和社会价值。建立健全数据授权开发、价格形成、利益分配、安全监管等数据制度规范，加强个人数据信息保护。</w:t>
      </w:r>
    </w:p>
    <w:p>
      <w:pPr>
        <w:spacing w:line="570" w:lineRule="exact"/>
        <w:ind w:firstLine="640"/>
      </w:pPr>
      <w:r>
        <w:rPr>
          <w:rFonts w:hint="eastAsia"/>
        </w:rPr>
        <w:t>积极推进水城电动汽车服务网络、充电基础设施及智能立体停车库建设，以水城汽车综合体和水城广通汽车智慧物流园为载体，培育发展智能网联汽车产业，积极开发基于网联的车载智能信息服务系统、汽车辅助驾驶系统、无人驾驶系统等，启动智能网联汽车场景建设，推动智能汽车与智慧城市建设协同发展。在加油站、停车场、高速公路服务区等场所建设充电设施，形成适度超前、车桩相随、智能高效的新能源汽车动力保障体系。</w:t>
      </w:r>
    </w:p>
    <w:p>
      <w:pPr>
        <w:spacing w:line="570" w:lineRule="exact"/>
        <w:ind w:firstLine="0" w:firstLineChars="0"/>
        <w:jc w:val="center"/>
        <w:rPr>
          <w:b/>
          <w:bCs/>
        </w:rPr>
      </w:pPr>
      <w:r>
        <w:rPr>
          <w:rFonts w:hint="eastAsia"/>
          <w:b/>
          <w:bCs/>
        </w:rPr>
        <w:t>第二节 推进实体经济数字化转型</w:t>
      </w:r>
    </w:p>
    <w:p>
      <w:pPr>
        <w:spacing w:line="570" w:lineRule="exact"/>
        <w:ind w:firstLine="640"/>
      </w:pPr>
      <w:r>
        <w:rPr>
          <w:rFonts w:hint="eastAsia"/>
        </w:rPr>
        <w:t>持续用大数据赋能实体经济，推动实体经济数字化、网络化、智能化发展，推动传统产业通过数字化实现转型升级。夯实发展基础，加快物联网关键信息基础设施建设，大力推进5</w:t>
      </w:r>
      <w:r>
        <w:t>G</w:t>
      </w:r>
      <w:r>
        <w:rPr>
          <w:rFonts w:hint="eastAsia"/>
        </w:rPr>
        <w:t>、人工智能、大数据、虚拟现实与增强现实等新技术深度应用。</w:t>
      </w:r>
    </w:p>
    <w:p>
      <w:pPr>
        <w:spacing w:line="570" w:lineRule="exact"/>
        <w:ind w:firstLine="640"/>
      </w:pPr>
      <w:r>
        <w:rPr>
          <w:rFonts w:hint="eastAsia"/>
        </w:rPr>
        <w:t>加快推动农业向生产管理精准化、质量追溯全程化、市场营销网络化融合升级，加大农业企业在信息化专业人员、资金、软硬件和数据资源方面的投入，实施农业资源环境精准监测，开展农业自然灾害预测预报，强化动物疫病和植物病虫害监测预警，建好用好农业综合服务平台，持续提升大数据在业务环节的普及渗透率。大力发展数字农业，夯实数字农业基础，构建“天空地人”一体的农业大数据可持续采集更新体系，建设若干现代智慧农业产业园区。强化农业生产、经营、销售等关键环节数据采集应用，深化农业产销智慧对接，精准匹配销售渠道。</w:t>
      </w:r>
    </w:p>
    <w:p>
      <w:pPr>
        <w:spacing w:line="570" w:lineRule="exact"/>
        <w:ind w:firstLine="640"/>
      </w:pPr>
      <w:r>
        <w:rPr>
          <w:rFonts w:hint="eastAsia"/>
        </w:rPr>
        <w:t>加快推进工业智能化改造，推动工业向智能化生产、网络化协同、个性化定制、服务化延伸融合升级。大力发展智能工厂、智能自动化生产线、工业互联网、工业大数据应用等，推广应用工业机器人。围绕煤矿智能化升级改造、智慧社区等对物联网产品的市场需求，积极引进和建设一批矿山传感器、元器件、通信模组、矿用压缩氧自救器等生产项目，推动煤矿智能化综合运输系统关键技术及装备研究与开发。积极承接东部产业转移，大力发展智能终端产品制造及其配套产业，快速扩大物联网产业规模，形成产业集聚。</w:t>
      </w:r>
    </w:p>
    <w:p>
      <w:pPr>
        <w:spacing w:line="570" w:lineRule="exact"/>
        <w:ind w:firstLine="640"/>
      </w:pPr>
      <w:r>
        <w:rPr>
          <w:rFonts w:hint="eastAsia"/>
        </w:rPr>
        <w:t>加快推进服务业数字化转型升级，推动服务业向平台型、智慧型、共享型转型升级，加快智慧旅游、智慧物流、智慧教育、智慧医疗等平台建设。积极推动城市便捷支付，拓展移动支付和电子支付应用场景。</w:t>
      </w:r>
    </w:p>
    <w:p>
      <w:pPr>
        <w:pStyle w:val="2"/>
        <w:rPr>
          <w:rFonts w:eastAsiaTheme="minorEastAsia"/>
        </w:rPr>
      </w:pPr>
    </w:p>
    <w:p>
      <w:pPr>
        <w:pStyle w:val="2"/>
        <w:rPr>
          <w:rFonts w:eastAsiaTheme="minorEastAsia"/>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 xml:space="preserve">25 </w:t>
            </w:r>
            <w:r>
              <w:rPr>
                <w:rFonts w:hint="eastAsia" w:ascii="楷体" w:hAnsi="楷体" w:eastAsia="楷体"/>
                <w:sz w:val="26"/>
                <w:szCs w:val="26"/>
              </w:rPr>
              <w:t>数字经济发展重点项目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ascii="楷体_GB2312" w:eastAsia="楷体_GB2312"/>
                <w:b/>
                <w:bCs/>
                <w:sz w:val="21"/>
                <w:szCs w:val="21"/>
              </w:rPr>
              <w:t xml:space="preserve">01 </w:t>
            </w:r>
            <w:r>
              <w:rPr>
                <w:rFonts w:hint="eastAsia" w:ascii="楷体_GB2312" w:eastAsia="楷体_GB2312"/>
                <w:b/>
                <w:bCs/>
                <w:sz w:val="21"/>
                <w:szCs w:val="21"/>
              </w:rPr>
              <w:t>5G产业发展</w:t>
            </w:r>
          </w:p>
          <w:p>
            <w:pPr>
              <w:spacing w:before="60" w:line="280" w:lineRule="exact"/>
              <w:ind w:firstLine="420"/>
              <w:rPr>
                <w:rFonts w:ascii="楷体" w:hAnsi="楷体" w:eastAsia="楷体"/>
                <w:sz w:val="26"/>
                <w:szCs w:val="26"/>
              </w:rPr>
            </w:pPr>
            <w:r>
              <w:rPr>
                <w:rFonts w:hint="eastAsia" w:ascii="楷体_GB2312" w:eastAsia="楷体_GB2312"/>
                <w:sz w:val="21"/>
                <w:szCs w:val="21"/>
              </w:rPr>
              <w:t>建设核心区主干道及公共服务区域智能WiFi网络发射点500个，中控系统1个。推进5G二期城区主设备建设项目，完成116个5G基站站点建设。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新能源汽车</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重点推进水城经开区电动汽车动力服务网络及充电基础设施智能服务平台项目，新建3000个新能源电动汽车充电桩及仓储式智能立体停车库一个。推进水城汽车综合体、水城广通汽车智慧物流园等项目建设。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物联网</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水城乐洲移动终端（智能设备）产业总部基地、水城经开区智能家居制造产业园、水城经开区物联网传感器生产、水城经开区5G数据中心、水城区农牧产品信息化服务、水城经开区智慧化项目、水城经开区工业物联网基础设施建设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智慧社区</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重点推进水城经开区易地扶贫搬迁配套农产品综合市场及智慧停车场项目。推进以朵、塔山、经开区智慧停车场建设项目，共建设1000个智慧停车位。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智慧水务</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重点推进水城区水利大数据信息化平台建设项目和水城区河湖生态建设项目。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931"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智慧城管</w:t>
            </w:r>
          </w:p>
          <w:p>
            <w:pPr>
              <w:spacing w:after="60" w:line="280" w:lineRule="exact"/>
              <w:ind w:firstLine="420"/>
              <w:rPr>
                <w:sz w:val="28"/>
                <w:szCs w:val="28"/>
              </w:rPr>
            </w:pPr>
            <w:r>
              <w:rPr>
                <w:rFonts w:hint="eastAsia" w:ascii="楷体_GB2312" w:eastAsia="楷体_GB2312"/>
                <w:sz w:val="21"/>
                <w:szCs w:val="21"/>
              </w:rPr>
              <w:t>重点推进六盘水东城区智慧城管系统项目建设。</w:t>
            </w:r>
            <w:r>
              <w:rPr>
                <w:sz w:val="28"/>
                <w:szCs w:val="28"/>
              </w:rPr>
              <w:t xml:space="preserve"> </w:t>
            </w:r>
          </w:p>
        </w:tc>
      </w:tr>
    </w:tbl>
    <w:p>
      <w:pPr>
        <w:pStyle w:val="6"/>
        <w:spacing w:before="222"/>
      </w:pPr>
      <w:bookmarkStart w:id="85" w:name="_Toc63250073"/>
      <w:r>
        <w:rPr>
          <w:rFonts w:hint="eastAsia"/>
        </w:rPr>
        <w:t>第二十三章 提升数字化治理水平</w:t>
      </w:r>
      <w:bookmarkEnd w:id="85"/>
    </w:p>
    <w:p>
      <w:pPr>
        <w:ind w:firstLine="640"/>
      </w:pPr>
      <w:r>
        <w:rPr>
          <w:rFonts w:hint="eastAsia"/>
        </w:rPr>
        <w:t>创新数字治理模式，加强数字社会、数字政府建设，完善提升“一云一网一平台”，深入实施“数字治理”攻坚战，推进政府管理和社会治理数字化创新，提升公共服务数字化水平，打造数字治理示范区。</w:t>
      </w:r>
    </w:p>
    <w:p>
      <w:pPr>
        <w:spacing w:line="570" w:lineRule="exact"/>
        <w:ind w:firstLine="0" w:firstLineChars="0"/>
        <w:jc w:val="center"/>
        <w:rPr>
          <w:b/>
          <w:bCs/>
        </w:rPr>
      </w:pPr>
      <w:r>
        <w:rPr>
          <w:rFonts w:hint="eastAsia"/>
          <w:b/>
          <w:bCs/>
        </w:rPr>
        <w:t>第一节 大力推进数字政府建设</w:t>
      </w:r>
    </w:p>
    <w:p>
      <w:pPr>
        <w:ind w:firstLine="640"/>
      </w:pPr>
      <w:r>
        <w:rPr>
          <w:rFonts w:hint="eastAsia"/>
        </w:rPr>
        <w:t>加快推动大数据在市场监管、城市管理、公共服务、民生保障和社会治理等方面的示范应用，深化技术创新和应用创新。通过大数据、云计算、人工智能等手段推进城市治理现代化，探索建设“城市大脑”，优化公共资源配置，提升科学决策水平，提高公共治理效能。实施权力清单、责任清单及负面清单透明化管理。提升政府在事前、事中、事后的治理能力。</w:t>
      </w:r>
    </w:p>
    <w:p>
      <w:pPr>
        <w:ind w:firstLine="640"/>
      </w:pPr>
      <w:r>
        <w:rPr>
          <w:rFonts w:hint="eastAsia"/>
        </w:rPr>
        <w:t>推进水城</w:t>
      </w:r>
      <w:r>
        <w:t>“互联网+政务服务”一体化平台</w:t>
      </w:r>
      <w:r>
        <w:rPr>
          <w:rFonts w:hint="eastAsia"/>
        </w:rPr>
        <w:t>建设</w:t>
      </w:r>
      <w:r>
        <w:t>，引进大数据分析平台、网站异常信息监测系统、及时视频通讯系统</w:t>
      </w:r>
      <w:r>
        <w:rPr>
          <w:rFonts w:hint="eastAsia"/>
        </w:rPr>
        <w:t>、机关事务网络云、智慧城管平台</w:t>
      </w:r>
      <w:r>
        <w:t>等信息化系统，加快数字便民步伐。</w:t>
      </w:r>
      <w:r>
        <w:rPr>
          <w:rFonts w:hint="eastAsia"/>
        </w:rPr>
        <w:t>推进公共数据资源共享、开放、开发，探索建立数据要素驱动的数字化治理创新体系。</w:t>
      </w:r>
    </w:p>
    <w:p>
      <w:pPr>
        <w:spacing w:line="570" w:lineRule="exact"/>
        <w:ind w:firstLine="0" w:firstLineChars="0"/>
        <w:jc w:val="center"/>
        <w:rPr>
          <w:b/>
          <w:bCs/>
        </w:rPr>
      </w:pPr>
      <w:r>
        <w:rPr>
          <w:rFonts w:hint="eastAsia"/>
          <w:b/>
          <w:bCs/>
        </w:rPr>
        <w:t>第二节 推进公共服务数字化建设</w:t>
      </w:r>
    </w:p>
    <w:p>
      <w:pPr>
        <w:ind w:firstLine="640"/>
      </w:pPr>
      <w:r>
        <w:rPr>
          <w:rFonts w:hint="eastAsia"/>
        </w:rPr>
        <w:t>提升公共服务数字化智能化水平。加快大数据服务业发展，深入实施大数据战略，大力实施“互联网</w:t>
      </w:r>
      <w:r>
        <w:t>+”行动计划，打造区域重要的数据中心，把中心城区建</w:t>
      </w:r>
      <w:r>
        <w:rPr>
          <w:rFonts w:hint="eastAsia"/>
        </w:rPr>
        <w:t>成</w:t>
      </w:r>
      <w:r>
        <w:t>集产学用为一体的大数据服务功能区。</w:t>
      </w:r>
      <w:r>
        <w:rPr>
          <w:rFonts w:hint="eastAsia"/>
        </w:rPr>
        <w:t>鼓励研发和推广应用更多更便捷的智慧便民服务和产品，提升群众大数据参与感获得感。</w:t>
      </w:r>
    </w:p>
    <w:p>
      <w:pPr>
        <w:spacing w:after="120"/>
        <w:ind w:firstLine="640"/>
      </w:pPr>
      <w:r>
        <w:rPr>
          <w:rFonts w:hint="eastAsia"/>
        </w:rPr>
        <w:t>推进“互联网+”和“大数据+”，探索“区块链+”等在民生领域普及应用，扩大数字民生服务。提升运用大数据优化民生服务能力，加快推进更多电子政务应用下沉到村，积极应用大数据解决公共服务不平衡不充分问题。实现政务民生热点服务全部网上办、掌上办，政务民生服务网上办理率达到1</w:t>
      </w:r>
      <w:r>
        <w:t>00</w:t>
      </w:r>
      <w:r>
        <w:rPr>
          <w:rFonts w:hint="eastAsia"/>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26</w:t>
            </w:r>
            <w:r>
              <w:rPr>
                <w:rFonts w:hint="eastAsia" w:ascii="楷体" w:hAnsi="楷体" w:eastAsia="楷体"/>
                <w:sz w:val="26"/>
                <w:szCs w:val="26"/>
              </w:rPr>
              <w:t xml:space="preserve"> 数字经济及数字治理重点项目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before="60" w:line="260" w:lineRule="exact"/>
              <w:ind w:firstLine="0" w:firstLineChars="0"/>
              <w:jc w:val="left"/>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“一云一网一平台”提升工程</w:t>
            </w:r>
          </w:p>
          <w:p>
            <w:pPr>
              <w:spacing w:line="260" w:lineRule="exact"/>
              <w:ind w:firstLine="420"/>
              <w:jc w:val="left"/>
              <w:rPr>
                <w:rFonts w:ascii="楷体" w:hAnsi="楷体" w:eastAsia="楷体"/>
                <w:sz w:val="26"/>
                <w:szCs w:val="26"/>
              </w:rPr>
            </w:pPr>
            <w:r>
              <w:rPr>
                <w:rFonts w:hint="eastAsia" w:ascii="楷体_GB2312" w:eastAsia="楷体_GB2312"/>
                <w:sz w:val="21"/>
                <w:szCs w:val="21"/>
              </w:rPr>
              <w:t>重点实施水城经开区玄武岩云平台建设项目，水城大健康数据中心、水城政务服务云平台建设项目、水城发耳园区电子商务平台等项目建设、水城“互联网+政务服务”一体化平台建设项目。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before="60" w:line="260" w:lineRule="exact"/>
              <w:ind w:firstLine="0" w:firstLineChars="0"/>
              <w:jc w:val="left"/>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数字政府建设</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重点推进水城机关事务网络云视频会议设施设备建设项目、水城城区智慧城市建设项目。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897" w:type="dxa"/>
          </w:tcPr>
          <w:p>
            <w:pPr>
              <w:spacing w:before="60" w:line="260" w:lineRule="exact"/>
              <w:ind w:firstLine="0" w:firstLineChars="0"/>
              <w:jc w:val="left"/>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数字市场监管</w:t>
            </w:r>
          </w:p>
          <w:p>
            <w:pPr>
              <w:spacing w:line="280" w:lineRule="exact"/>
              <w:ind w:firstLine="420"/>
            </w:pPr>
            <w:r>
              <w:rPr>
                <w:rFonts w:hint="eastAsia" w:ascii="楷体_GB2312" w:eastAsia="楷体_GB2312"/>
                <w:sz w:val="21"/>
                <w:szCs w:val="21"/>
              </w:rPr>
              <w:t>重点实施水城区食品安全智能监管系统、水城区食品药品检验检测能力提升工程等项目建设。</w:t>
            </w:r>
          </w:p>
        </w:tc>
      </w:tr>
    </w:tbl>
    <w:p>
      <w:pPr>
        <w:pStyle w:val="6"/>
        <w:spacing w:before="222"/>
      </w:pPr>
      <w:bookmarkStart w:id="86" w:name="_Toc63250074"/>
      <w:r>
        <w:rPr>
          <w:rFonts w:hint="eastAsia"/>
        </w:rPr>
        <w:t>第二十四章 大力推动科技创新</w:t>
      </w:r>
      <w:bookmarkEnd w:id="86"/>
    </w:p>
    <w:p>
      <w:pPr>
        <w:ind w:firstLine="640"/>
      </w:pPr>
      <w:r>
        <w:rPr>
          <w:rFonts w:hint="eastAsia"/>
        </w:rPr>
        <w:t>切实转变发展理念和发展模式，持续推动粗放型增长转向创新驱动的内涵型增长。深入实施创新驱动发展战略，建立以企业为主体、市场为导向、产学研相结合的科技创新发展体系。到</w:t>
      </w:r>
      <w:r>
        <w:t>2025年，全</w:t>
      </w:r>
      <w:r>
        <w:rPr>
          <w:rFonts w:hint="eastAsia"/>
        </w:rPr>
        <w:t>区</w:t>
      </w:r>
      <w:r>
        <w:t>科技创新综合实力显著提升，企业研发投入强度不断增强，全社会</w:t>
      </w:r>
      <w:r>
        <w:rPr>
          <w:rFonts w:hint="eastAsia"/>
        </w:rPr>
        <w:t>研发</w:t>
      </w:r>
      <w:r>
        <w:t>投入占地区生产总值比重达</w:t>
      </w:r>
      <w:r>
        <w:rPr>
          <w:color w:val="000000" w:themeColor="text1"/>
          <w14:textFill>
            <w14:solidFill>
              <w14:schemeClr w14:val="tx1"/>
            </w14:solidFill>
          </w14:textFill>
        </w:rPr>
        <w:t>2</w:t>
      </w:r>
      <w:r>
        <w:t>%。</w:t>
      </w:r>
    </w:p>
    <w:p>
      <w:pPr>
        <w:pStyle w:val="2"/>
        <w:rPr>
          <w:rFonts w:eastAsiaTheme="minorEastAsia"/>
        </w:rPr>
      </w:pPr>
    </w:p>
    <w:p>
      <w:pPr>
        <w:spacing w:line="570" w:lineRule="exact"/>
        <w:ind w:firstLine="0" w:firstLineChars="0"/>
        <w:jc w:val="center"/>
        <w:rPr>
          <w:b/>
          <w:bCs/>
        </w:rPr>
      </w:pPr>
      <w:r>
        <w:rPr>
          <w:rFonts w:hint="eastAsia"/>
          <w:b/>
          <w:bCs/>
        </w:rPr>
        <w:t>第一节 推进创新平台建设</w:t>
      </w:r>
    </w:p>
    <w:p>
      <w:pPr>
        <w:ind w:firstLine="640"/>
      </w:pPr>
      <w:r>
        <w:rPr>
          <w:rFonts w:hint="eastAsia"/>
        </w:rPr>
        <w:t>更好发挥财政资金引导作用，逐年提高研发</w:t>
      </w:r>
      <w:r>
        <w:t>支出占地区生产总值比重</w:t>
      </w:r>
      <w:r>
        <w:rPr>
          <w:rFonts w:hint="eastAsia"/>
        </w:rPr>
        <w:t>。鼓励在产业转型升级中积极引入国内自主创新技术和设备，主动提供服务对接本地企业和国内科研院所，打通科研成果转化与本地企业需求之间的通道，引导和鼓励企业与一流科研院所建立合作机制。继续加强与中科院、贵州科学院等科研机构（院校）合作，完善产学研用相结合的协同创新机制。设立专项资金和优惠政策，鼓励在水城设立</w:t>
      </w:r>
      <w:r>
        <w:t>高新技术企业</w:t>
      </w:r>
      <w:r>
        <w:rPr>
          <w:rFonts w:hint="eastAsia"/>
        </w:rPr>
        <w:t>，鼓励企业申请设立各级科研平台，鼓励企业柔性引入国内高技术人才。水城经开区围绕玄武岩纤维、新型铝合金等，加快建设玄武岩纤维新材料工程技术研究中心、锂锰资源绿色利用及新能源材料工程技术研究中心、院士工作站等一批科技研发、技术转让平台，推动主导产业再升级。支持水城经开区加快推进省级大众创业万众创新示范基地建设。实施创新创业平台倍增计划，以新兴产业共性关键技术和工程化技术研究、推动应用示范和成果转化为重点，申建国家玄武岩工程技术研究中心创新平台，申建猕猴桃、刺梨等省级以上创新平台。围绕铝及铝加工产业、玄武岩纤维新材料及锰锂新能源等优势产业，培育发展第三方检验检测和认证服务机构。大力推进高新技术企业引进和培育。全面加强知识产权保护工作。</w:t>
      </w:r>
    </w:p>
    <w:p>
      <w:pPr>
        <w:spacing w:line="570" w:lineRule="exact"/>
        <w:ind w:firstLine="0" w:firstLineChars="0"/>
        <w:jc w:val="center"/>
        <w:rPr>
          <w:b/>
          <w:bCs/>
        </w:rPr>
      </w:pPr>
      <w:r>
        <w:rPr>
          <w:rFonts w:hint="eastAsia"/>
          <w:b/>
          <w:bCs/>
        </w:rPr>
        <w:t>第二节 推动科技创新协同创新</w:t>
      </w:r>
    </w:p>
    <w:p>
      <w:pPr>
        <w:ind w:firstLine="640"/>
      </w:pPr>
      <w:r>
        <w:rPr>
          <w:rFonts w:hint="eastAsia"/>
        </w:rPr>
        <w:t>发挥企业在技术创新中的主体作用，打造科技、教育、产业、金融紧密融合的创新体系。及时调整生产组织方式，在农业领域推广“农户</w:t>
      </w:r>
      <w:r>
        <w:t>+合作社+公司”模式，在工业领域积极引入和鼓励民营企业发展，激发市场主体活力，不断适应解放和发展社会生产力的要求。</w:t>
      </w:r>
    </w:p>
    <w:p>
      <w:pPr>
        <w:spacing w:after="120"/>
        <w:ind w:firstLine="640"/>
      </w:pPr>
      <w:r>
        <w:rPr>
          <w:rFonts w:hint="eastAsia"/>
        </w:rPr>
        <w:t>推进要素创新，围绕刺梨、猕猴桃、茶叶以及煤电铝、新材料等产业，全面推进资本投融、土地供给、技术开发、管理体制等要素创新，加快推进玄武岩纤维新材料工程技术研究中心、中科院院士工作站、产业技术创新联盟等重点创新项目建设。到</w:t>
      </w:r>
      <w:r>
        <w:t>2025年，全区申请</w:t>
      </w:r>
      <w:r>
        <w:rPr>
          <w:rFonts w:hint="eastAsia"/>
        </w:rPr>
        <w:t>专利</w:t>
      </w:r>
      <w:r>
        <w:t>1000件以上</w:t>
      </w:r>
      <w:r>
        <w:rPr>
          <w:rFonts w:hint="eastAsia"/>
        </w:rPr>
        <w:t>。</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专栏2</w:t>
            </w:r>
            <w:r>
              <w:rPr>
                <w:rFonts w:ascii="楷体" w:hAnsi="楷体" w:eastAsia="楷体"/>
                <w:sz w:val="26"/>
                <w:szCs w:val="26"/>
              </w:rPr>
              <w:t>7</w:t>
            </w:r>
            <w:r>
              <w:rPr>
                <w:rFonts w:hint="eastAsia" w:ascii="楷体" w:hAnsi="楷体" w:eastAsia="楷体"/>
                <w:sz w:val="26"/>
                <w:szCs w:val="26"/>
              </w:rPr>
              <w:t xml:space="preserve"> 科技创新发展重点项目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科技创新重大工程</w:t>
            </w:r>
          </w:p>
          <w:p>
            <w:pPr>
              <w:spacing w:before="60" w:line="280" w:lineRule="exact"/>
              <w:ind w:firstLine="420"/>
              <w:rPr>
                <w:rFonts w:ascii="楷体" w:hAnsi="楷体" w:eastAsia="楷体"/>
                <w:sz w:val="26"/>
                <w:szCs w:val="26"/>
              </w:rPr>
            </w:pPr>
            <w:r>
              <w:rPr>
                <w:rFonts w:hint="eastAsia" w:ascii="楷体_GB2312" w:eastAsia="楷体_GB2312"/>
                <w:sz w:val="21"/>
                <w:szCs w:val="21"/>
              </w:rPr>
              <w:t>重点实施贵州贵能公司100万吨煤制甲醇建设项目，水城煤矿开采机器人研发应用项目，水城经开区新材料全产业链项目，年产1.5万吨贵州石鑫玄武岩科技有限公司玄武岩连续纤维智能化生产线及制品生产线项目，10万吨/年高纯硫酸锰+10万吨锰钴镍/年生产线水城经开区合众锰业二期高纯硫酸锰生产线项目，知识产权保护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孵化器建设</w:t>
            </w:r>
          </w:p>
          <w:p>
            <w:pPr>
              <w:pStyle w:val="2"/>
              <w:spacing w:line="280" w:lineRule="exact"/>
              <w:ind w:firstLine="420" w:firstLineChars="200"/>
              <w:rPr>
                <w:rFonts w:ascii="楷体" w:hAnsi="楷体" w:eastAsia="楷体"/>
                <w:sz w:val="26"/>
                <w:szCs w:val="26"/>
              </w:rPr>
            </w:pPr>
            <w:r>
              <w:rPr>
                <w:rFonts w:hint="eastAsia" w:ascii="楷体_GB2312" w:hAnsi="仿宋_GB2312" w:eastAsia="楷体_GB2312" w:cs="Times New Roman"/>
                <w:kern w:val="2"/>
              </w:rPr>
              <w:t>新建水城孵化器。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创新平台建设</w:t>
            </w:r>
          </w:p>
          <w:p>
            <w:pPr>
              <w:spacing w:after="60" w:line="280" w:lineRule="exact"/>
              <w:ind w:firstLine="420"/>
              <w:rPr>
                <w:sz w:val="28"/>
                <w:szCs w:val="28"/>
              </w:rPr>
            </w:pPr>
            <w:r>
              <w:rPr>
                <w:rFonts w:hint="eastAsia" w:ascii="楷体_GB2312" w:eastAsia="楷体_GB2312"/>
                <w:sz w:val="21"/>
                <w:szCs w:val="21"/>
              </w:rPr>
              <w:t>重点实施水城经开区科技成果转换中心、玄武岩纤维新材料工程技术研究中心、锂锰资源绿色利用及新能源材料工程技术研究中心、水城中药材和食用菌科研创新平台、水城猕猴桃产业现代化体系建设支撑理论研究基地、水城区茶叶产学研基地、双元铝业有限责任公司研究开发中心、贵州鑫泰源开发投资有限公司铝产业链技术研发中心、贵州华凯营上循环农业科技研发中心、六盘水刺梨康养产业工程技术研究中心、水城经开区铝产业链技术研发中心、水城经开区省级双创平台等项目建设</w:t>
            </w:r>
            <w:r>
              <w:rPr>
                <w:rFonts w:hint="eastAsia"/>
                <w:sz w:val="28"/>
                <w:szCs w:val="28"/>
              </w:rPr>
              <w:t>。</w:t>
            </w:r>
          </w:p>
        </w:tc>
      </w:tr>
    </w:tbl>
    <w:p>
      <w:pPr>
        <w:pStyle w:val="6"/>
        <w:spacing w:before="222"/>
      </w:pPr>
      <w:bookmarkStart w:id="87" w:name="_Toc63250075"/>
      <w:r>
        <w:rPr>
          <w:rFonts w:hint="eastAsia"/>
        </w:rPr>
        <w:t>第二十五章 深入推进人力资源开发</w:t>
      </w:r>
      <w:bookmarkEnd w:id="87"/>
    </w:p>
    <w:p>
      <w:pPr>
        <w:ind w:firstLine="640"/>
      </w:pPr>
      <w:r>
        <w:rPr>
          <w:rFonts w:hint="eastAsia"/>
        </w:rPr>
        <w:t>深入贯彻尊重劳动、尊重知识、尊重人才、尊重创造的方针，建立完善人才工作协调机制，坚持培养、引进、激励并举，构建支撑高质量发展的人力资源开发体系。</w:t>
      </w:r>
    </w:p>
    <w:p>
      <w:pPr>
        <w:spacing w:line="570" w:lineRule="exact"/>
        <w:ind w:firstLine="0" w:firstLineChars="0"/>
        <w:jc w:val="center"/>
        <w:rPr>
          <w:b/>
          <w:bCs/>
        </w:rPr>
      </w:pPr>
      <w:r>
        <w:rPr>
          <w:rFonts w:hint="eastAsia"/>
          <w:b/>
          <w:bCs/>
        </w:rPr>
        <w:t>第一节 大力引进和培育创新人才</w:t>
      </w:r>
    </w:p>
    <w:p>
      <w:pPr>
        <w:ind w:firstLine="640"/>
      </w:pPr>
      <w:r>
        <w:rPr>
          <w:rFonts w:hint="eastAsia"/>
        </w:rPr>
        <w:t>围绕重点领域、重点行业、重点产业和重点企业发展需求，加大人才引进力度。深化人才发展体制机制改革，建立完善人才工作协调机制，构建全社会齐抓共管的人才工作大格局。实施重点人才倍增计划和精英人才引进计划，重点引进高端领军人才、创新创业人才、开放型人才、产业发展人才。实施重点人才培养工程，遴选培养一批有希望成为行业领军、国内一流的专家人才。加强创新型、应用型、技能型人才培养，实施知识更新工程、技能提升行动，壮大高水平工程师和高技能人才队伍。大力引进国内外知名院校、科研院所高科技人才以及知名企业、品牌企业高端人才，推动加强与国内外知名高等院校、科研机构和优强企业合作，培育一批产业领军型人才。积极推动创新型市场主体培育，加强企业家队伍建设，培育一批本地企业家和企业经营管理人才，开展基层人才技能提升培训计划，全面提升基层人才队伍能力素质。</w:t>
      </w:r>
    </w:p>
    <w:p>
      <w:pPr>
        <w:ind w:firstLine="0" w:firstLineChars="0"/>
        <w:jc w:val="center"/>
        <w:rPr>
          <w:b/>
          <w:bCs/>
        </w:rPr>
      </w:pPr>
      <w:r>
        <w:rPr>
          <w:rFonts w:hint="eastAsia"/>
          <w:b/>
          <w:bCs/>
        </w:rPr>
        <w:t>第二节 完善人才服务体系</w:t>
      </w:r>
    </w:p>
    <w:p>
      <w:pPr>
        <w:ind w:firstLine="640"/>
        <w:rPr>
          <w:rFonts w:eastAsiaTheme="minorEastAsia"/>
        </w:rPr>
      </w:pPr>
      <w:r>
        <w:rPr>
          <w:rFonts w:hint="eastAsia"/>
        </w:rPr>
        <w:t>健全完善人才服务政策体系，创新人才服务方式和激励评价机制，建设人才服务中心，围绕重点行业领域，提供信息、技术、创业、培训、融资等服务，提高人才服务效能。建立健全政府宏观管理、市场有效配置、单位自主用人、人才自主择业的人才管理体制。在编制、晋升等方面对人才给予政策倾斜，建立职称评审“直通车”机制，完善特殊优秀人才认定标准，畅通高级职称申报渠道。加强对人才的政治引领和吸纳，弘扬劳模精神、劳动精神和工匠精神，完善人才服务绿卡功能，在医疗社保、住房、子女入学等方面为人才提供服务保障，让各类人才安心事业、潜心创业。到</w:t>
      </w:r>
      <w:r>
        <w:t>2025年，覆盖市、县、乡三级的人才服务网络基本形成。</w:t>
      </w:r>
    </w:p>
    <w:p>
      <w:pPr>
        <w:spacing w:line="570" w:lineRule="exact"/>
        <w:ind w:firstLine="0" w:firstLineChars="0"/>
        <w:jc w:val="center"/>
      </w:pPr>
      <w:r>
        <w:rPr>
          <w:rFonts w:hint="eastAsia"/>
          <w:b/>
          <w:bCs/>
        </w:rPr>
        <w:t>第三节 激发人才创新创业活力</w:t>
      </w:r>
    </w:p>
    <w:p>
      <w:pPr>
        <w:spacing w:after="120"/>
        <w:ind w:firstLine="640"/>
      </w:pPr>
      <w:r>
        <w:rPr>
          <w:rFonts w:hint="eastAsia"/>
        </w:rPr>
        <w:t>制定完善支持高层次人才创新创业的政策措施，开展创新创业人才股权和分红激励试点，落实科技人员科技成果转移转化激励政策。创新人才激励评价机制，落实科技人员科技成果转移转化激励政策。加强对人才的政治引领和吸纳，弘扬劳模精神、劳动精神和工匠精神，健全人才服务保障机制和体系，推动人才向基层一线聚集。鼓励发展以大学生为主的青年创新创业群体、科研队伍群体和“草根”人才。加大对基层人才队伍政策支持力度，鼓励人才向基层流动、向艰苦地区和岗位流动，促进人力资源有效配置。</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vAlign w:val="center"/>
          </w:tcPr>
          <w:p>
            <w:pPr>
              <w:spacing w:line="240" w:lineRule="auto"/>
              <w:ind w:firstLine="0" w:firstLineChars="0"/>
              <w:jc w:val="center"/>
              <w:rPr>
                <w:rFonts w:ascii="楷体" w:hAnsi="楷体" w:eastAsia="楷体"/>
                <w:sz w:val="26"/>
                <w:szCs w:val="26"/>
              </w:rPr>
            </w:pPr>
            <w:r>
              <w:rPr>
                <w:rFonts w:hint="eastAsia" w:ascii="楷体" w:hAnsi="楷体" w:eastAsia="楷体"/>
                <w:color w:val="000000"/>
                <w:sz w:val="26"/>
                <w:szCs w:val="26"/>
              </w:rPr>
              <w:t>专栏2</w:t>
            </w:r>
            <w:r>
              <w:rPr>
                <w:rFonts w:ascii="楷体" w:hAnsi="楷体" w:eastAsia="楷体"/>
                <w:color w:val="000000"/>
                <w:sz w:val="26"/>
                <w:szCs w:val="26"/>
              </w:rPr>
              <w:t>8</w:t>
            </w:r>
            <w:r>
              <w:rPr>
                <w:rFonts w:hint="eastAsia" w:ascii="楷体" w:hAnsi="楷体" w:eastAsia="楷体"/>
                <w:color w:val="000000"/>
                <w:sz w:val="26"/>
                <w:szCs w:val="26"/>
              </w:rPr>
              <w:t xml:space="preserve"> 人力资源开发重点项目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vAlign w:val="center"/>
          </w:tcPr>
          <w:p>
            <w:pPr>
              <w:spacing w:before="60" w:line="280" w:lineRule="exact"/>
              <w:ind w:firstLine="0" w:firstLineChars="0"/>
              <w:rPr>
                <w:rFonts w:ascii="楷体_GB2312" w:hAnsi="Times New Roman" w:eastAsia="楷体_GB2312"/>
                <w:b/>
                <w:bCs/>
                <w:color w:val="000000"/>
                <w:sz w:val="21"/>
                <w:szCs w:val="21"/>
              </w:rPr>
            </w:pPr>
            <w:r>
              <w:rPr>
                <w:rFonts w:hint="eastAsia" w:ascii="楷体_GB2312" w:hAnsi="Times New Roman" w:eastAsia="楷体_GB2312"/>
                <w:b/>
                <w:bCs/>
                <w:color w:val="000000"/>
                <w:sz w:val="21"/>
                <w:szCs w:val="21"/>
              </w:rPr>
              <w:t>0</w:t>
            </w:r>
            <w:r>
              <w:rPr>
                <w:rFonts w:ascii="楷体_GB2312" w:hAnsi="Times New Roman" w:eastAsia="楷体_GB2312"/>
                <w:b/>
                <w:bCs/>
                <w:color w:val="000000"/>
                <w:sz w:val="21"/>
                <w:szCs w:val="21"/>
              </w:rPr>
              <w:t xml:space="preserve">1 </w:t>
            </w:r>
            <w:r>
              <w:rPr>
                <w:rFonts w:hint="eastAsia" w:ascii="楷体_GB2312" w:hAnsi="Times New Roman" w:eastAsia="楷体_GB2312"/>
                <w:b/>
                <w:bCs/>
                <w:color w:val="000000"/>
                <w:sz w:val="21"/>
                <w:szCs w:val="21"/>
              </w:rPr>
              <w:t>人才引进和培养</w:t>
            </w:r>
          </w:p>
          <w:p>
            <w:pPr>
              <w:spacing w:line="280" w:lineRule="exact"/>
              <w:ind w:firstLine="420"/>
              <w:rPr>
                <w:rFonts w:ascii="楷体" w:hAnsi="楷体" w:eastAsia="楷体"/>
                <w:color w:val="000000"/>
                <w:sz w:val="26"/>
                <w:szCs w:val="26"/>
              </w:rPr>
            </w:pPr>
            <w:r>
              <w:rPr>
                <w:rFonts w:hint="eastAsia" w:ascii="楷体_GB2312" w:hAnsi="Times New Roman" w:eastAsia="楷体_GB2312"/>
                <w:color w:val="000000"/>
                <w:sz w:val="21"/>
                <w:szCs w:val="21"/>
              </w:rPr>
              <w:t>引进“高端人才”、退休专家20人，支持和引导500名青年回乡创业，每年培养专业技术人才500人。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89" w:type="dxa"/>
            <w:vAlign w:val="center"/>
          </w:tcPr>
          <w:p>
            <w:pPr>
              <w:spacing w:before="60" w:line="280" w:lineRule="exact"/>
              <w:ind w:firstLine="0" w:firstLineChars="0"/>
              <w:rPr>
                <w:rFonts w:ascii="楷体_GB2312" w:hAnsi="Times New Roman" w:eastAsia="楷体_GB2312"/>
                <w:b/>
                <w:bCs/>
                <w:color w:val="000000"/>
                <w:sz w:val="21"/>
                <w:szCs w:val="21"/>
              </w:rPr>
            </w:pPr>
            <w:r>
              <w:rPr>
                <w:rFonts w:hint="eastAsia" w:ascii="楷体_GB2312" w:hAnsi="Times New Roman" w:eastAsia="楷体_GB2312"/>
                <w:b/>
                <w:bCs/>
                <w:color w:val="000000"/>
                <w:sz w:val="21"/>
                <w:szCs w:val="21"/>
              </w:rPr>
              <w:t>0</w:t>
            </w:r>
            <w:r>
              <w:rPr>
                <w:rFonts w:ascii="楷体_GB2312" w:hAnsi="Times New Roman" w:eastAsia="楷体_GB2312"/>
                <w:b/>
                <w:bCs/>
                <w:color w:val="000000"/>
                <w:sz w:val="21"/>
                <w:szCs w:val="21"/>
              </w:rPr>
              <w:t xml:space="preserve">2 </w:t>
            </w:r>
            <w:r>
              <w:rPr>
                <w:rFonts w:hint="eastAsia" w:ascii="楷体_GB2312" w:hAnsi="Times New Roman" w:eastAsia="楷体_GB2312"/>
                <w:b/>
                <w:bCs/>
                <w:color w:val="000000"/>
                <w:sz w:val="21"/>
                <w:szCs w:val="21"/>
              </w:rPr>
              <w:t>人才能力提升工程</w:t>
            </w:r>
          </w:p>
          <w:p>
            <w:pPr>
              <w:spacing w:line="280" w:lineRule="exact"/>
              <w:ind w:firstLine="420"/>
            </w:pPr>
            <w:r>
              <w:rPr>
                <w:rFonts w:hint="eastAsia" w:ascii="楷体_GB2312" w:hAnsi="Times New Roman" w:eastAsia="楷体_GB2312"/>
                <w:color w:val="000000"/>
                <w:sz w:val="21"/>
                <w:szCs w:val="21"/>
              </w:rPr>
              <w:t>重点实施水城经开区公共实训基地、水城农业产业人才队伍培训基地、水城职业技能培训基地。</w:t>
            </w:r>
          </w:p>
        </w:tc>
      </w:tr>
    </w:tbl>
    <w:p>
      <w:pPr>
        <w:ind w:firstLine="640"/>
      </w:pPr>
    </w:p>
    <w:p>
      <w:pPr>
        <w:spacing w:line="570" w:lineRule="exact"/>
        <w:ind w:firstLine="640"/>
      </w:pPr>
      <w:r>
        <w:br w:type="page"/>
      </w:r>
    </w:p>
    <w:p>
      <w:pPr>
        <w:pStyle w:val="5"/>
      </w:pPr>
      <w:bookmarkStart w:id="88" w:name="_Toc63250076"/>
      <w:r>
        <w:rPr>
          <w:rFonts w:hint="eastAsia"/>
        </w:rPr>
        <w:t>第八篇 坚持贯彻绿色发展理念，高质量绘就</w:t>
      </w:r>
      <w:r>
        <w:rPr>
          <w:rFonts w:hint="eastAsia"/>
          <w:lang w:eastAsia="zh-CN"/>
        </w:rPr>
        <w:t>康养水城</w:t>
      </w:r>
      <w:r>
        <w:rPr>
          <w:rFonts w:hint="eastAsia"/>
        </w:rPr>
        <w:t>新画卷</w:t>
      </w:r>
      <w:bookmarkEnd w:id="88"/>
      <w:r>
        <w:t xml:space="preserve"> </w:t>
      </w:r>
    </w:p>
    <w:p>
      <w:pPr>
        <w:ind w:firstLine="640"/>
      </w:pPr>
      <w:r>
        <w:rPr>
          <w:rFonts w:hint="eastAsia"/>
        </w:rPr>
        <w:t>坚持绿水青山就是金山银山理念，大力实施生态环境提升行动，加快构建生态产业化、产业生态化为主体的生态经济体系，立足水城生态资源优势，积极通过市场机制推动生态产品的价值实现，彰显</w:t>
      </w:r>
      <w:r>
        <w:rPr>
          <w:rFonts w:hint="eastAsia"/>
          <w:lang w:eastAsia="zh-CN"/>
        </w:rPr>
        <w:t>康养水城</w:t>
      </w:r>
      <w:r>
        <w:rPr>
          <w:rFonts w:hint="eastAsia"/>
        </w:rPr>
        <w:t>绿水青山新形象，促进经济社会发展全面绿色转型。</w:t>
      </w:r>
    </w:p>
    <w:p>
      <w:pPr>
        <w:pStyle w:val="6"/>
        <w:spacing w:before="222"/>
      </w:pPr>
      <w:bookmarkStart w:id="89" w:name="_Toc63250077"/>
      <w:r>
        <w:rPr>
          <w:rFonts w:hint="eastAsia"/>
        </w:rPr>
        <w:t>第二十六章 加强生态环境治理和保护修复</w:t>
      </w:r>
      <w:bookmarkEnd w:id="89"/>
    </w:p>
    <w:p>
      <w:pPr>
        <w:ind w:firstLine="640"/>
      </w:pPr>
      <w:r>
        <w:rPr>
          <w:rFonts w:hint="eastAsia"/>
        </w:rPr>
        <w:t>统筹推进山水林田湖草综合治理、系统治理、源头治理，加强生态多样性保护，严格保护北盘江、三岔河流域生态系统，加快构建区域生态安全格局。推行草原森林河流湖泊休养生息，健全耕地休耕轮作制度。对易地扶贫搬迁迁出地实施生态恢复。加强外来物种管控。推进小水电绿色改造。强化水资源刚性约束，建设节水型社会。</w:t>
      </w:r>
    </w:p>
    <w:p>
      <w:pPr>
        <w:ind w:firstLine="640"/>
      </w:pPr>
      <w:r>
        <w:rPr>
          <w:rFonts w:hint="eastAsia"/>
        </w:rPr>
        <w:t>依托国有自然资源资产管理体制改革试点，整合国土、农业、林业、水利、环保等相关自然资源管理部门基础数据，开展全区生态资源资产调查统计工作。明确所有权主体、划清所有权界线，由不动产登记机构实施登记，逐步汇总形成全区生态资源登记数据库。逐步建立全区山、水、林、田、湖（含水库）、农村集体用地等生态资源目录清单，绘制生态资源资产“一张图”。</w:t>
      </w:r>
    </w:p>
    <w:p>
      <w:pPr>
        <w:ind w:firstLine="640"/>
      </w:pPr>
      <w:r>
        <w:rPr>
          <w:rFonts w:hint="eastAsia"/>
        </w:rPr>
        <w:t>依据国土空间总体规划，深入实施山水林田湖一体化生态保护和修复，筑牢生态安全屏障，坚持保护优先、自然恢复为主，实施重要生态系统保护、地质灾害防护和修复重大工程。重点落实岩溶地区石漠化生态修复治理和露天矿山综合整治修复，推进地质灾害综合防治，加快采煤沉陷区治理，提升生态系统质量和稳定性。</w:t>
      </w:r>
    </w:p>
    <w:p>
      <w:pPr>
        <w:ind w:firstLine="640"/>
      </w:pPr>
      <w:r>
        <w:rPr>
          <w:rFonts w:hint="eastAsia"/>
        </w:rPr>
        <w:t>深入实施国土绿化行动，大力实施国家储备林建设、天然林保护和新一轮退耕还林。依托国家储备林建设，推进全域森林提质培优。做好森林防火隔离带建设，全面推进自然保护地体系建设，实施地质灾害排查，健全全区群测群防体系。加快山洪沟综合治理，加快全域占补平衡综合土地整治，加快重点流域小型水库水环境综合治理。重视珍稀濒危野生动植物拯救保护，落实野钟乡黑叶猴自然保护区生态保护修复。</w:t>
      </w:r>
    </w:p>
    <w:p>
      <w:pPr>
        <w:spacing w:after="120"/>
        <w:ind w:firstLine="640"/>
      </w:pPr>
      <w:r>
        <w:t>加强农村环境综合整治，围绕美丽乡村建设，加强农村饮用水源地保护，加强</w:t>
      </w:r>
      <w:r>
        <w:rPr>
          <w:rFonts w:hint="eastAsia"/>
        </w:rPr>
        <w:t>农业面源污染治理、</w:t>
      </w:r>
      <w:r>
        <w:t>农村污水、垃圾、畜禽养殖污染治理</w:t>
      </w:r>
      <w:r>
        <w:rPr>
          <w:rFonts w:hint="eastAsia"/>
        </w:rPr>
        <w:t>，积极实施“厕所革命”</w:t>
      </w:r>
      <w:r>
        <w:t>，有效改善农村人居环境</w:t>
      </w:r>
      <w:r>
        <w:rPr>
          <w:rFonts w:hint="eastAsia"/>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专栏2</w:t>
            </w:r>
            <w:r>
              <w:rPr>
                <w:rFonts w:ascii="楷体" w:hAnsi="楷体" w:eastAsia="楷体"/>
                <w:sz w:val="26"/>
                <w:szCs w:val="26"/>
              </w:rPr>
              <w:t xml:space="preserve">9 </w:t>
            </w:r>
            <w:r>
              <w:rPr>
                <w:rFonts w:hint="eastAsia" w:ascii="楷体" w:hAnsi="楷体" w:eastAsia="楷体"/>
                <w:sz w:val="26"/>
                <w:szCs w:val="26"/>
              </w:rPr>
              <w:t>生态修复和治理重点工程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综合治理和生态修复工程</w:t>
            </w:r>
          </w:p>
          <w:p>
            <w:pPr>
              <w:spacing w:before="60" w:line="280" w:lineRule="exact"/>
              <w:ind w:firstLine="420"/>
              <w:rPr>
                <w:rFonts w:ascii="楷体" w:hAnsi="楷体" w:eastAsia="楷体"/>
                <w:sz w:val="26"/>
                <w:szCs w:val="26"/>
              </w:rPr>
            </w:pPr>
            <w:r>
              <w:rPr>
                <w:rFonts w:hint="eastAsia" w:ascii="楷体_GB2312" w:eastAsia="楷体_GB2312"/>
                <w:sz w:val="21"/>
                <w:szCs w:val="21"/>
              </w:rPr>
              <w:t>重点实施水城煤矿矿山生态修复、水城岩溶地区石漠化生态修复治理、人工促进封山育林和生物多样性保护、北盘江流域二级支流清水河营盘-都格段生态环境保护修复综合治理、小河片区观音山片区白云石矿露天矿山综合整治修复、水城全域地质灾害综合治理、水城山洪沟综合治理、水城区三岔河流域比德-化乐段生态环境保护修复综合治理项目、水城区勺米镇全域土地综合整治试点、米箩-阿戛片区矿山生态环境保护修复综合治理、水城全域占补平衡综合土地整治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重点流域治理</w:t>
            </w:r>
          </w:p>
          <w:p>
            <w:pPr>
              <w:spacing w:line="280" w:lineRule="exact"/>
              <w:ind w:firstLine="420"/>
              <w:rPr>
                <w:rFonts w:ascii="楷体" w:hAnsi="楷体" w:eastAsia="楷体"/>
                <w:sz w:val="26"/>
                <w:szCs w:val="26"/>
              </w:rPr>
            </w:pPr>
            <w:r>
              <w:rPr>
                <w:rFonts w:hint="eastAsia" w:ascii="楷体_GB2312" w:eastAsia="楷体_GB2312"/>
                <w:sz w:val="21"/>
                <w:szCs w:val="21"/>
              </w:rPr>
              <w:t>重点实施三岔河流域污染防治、化乐镇懒龙河流域治理工程、百车河河道综合治理、水城月亮河流域综合治理、水城巴朗河流域综合治理、水城可渡河流域综合治理、水城老鹰山堰湖流域治理工程、水城经开区万全河河道治理等项目建设。重点推进水城生态河道治理和流域综合治理，包括水体污染防治、水环境综合治理、河湖生态保护与修复等。推进水城区江河及水源地生态修复治理项目，主要河流两侧实施水源涵养林保护建设。推进新街、顺场小流域治理等项目建设。推进8个小型水库水环境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835"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国家储备林及林区防护项目</w:t>
            </w:r>
          </w:p>
          <w:p>
            <w:pPr>
              <w:spacing w:after="60" w:line="280" w:lineRule="exact"/>
              <w:ind w:firstLine="420"/>
            </w:pPr>
            <w:r>
              <w:rPr>
                <w:rFonts w:hint="eastAsia" w:ascii="楷体_GB2312" w:eastAsia="楷体_GB2312" w:cs="仿宋_GB2312"/>
                <w:sz w:val="21"/>
                <w:szCs w:val="21"/>
              </w:rPr>
              <w:t>重点实施国家储备林建设35.4万亩。推进全区林区防火通道、防火隔离带、森林防火系统、林区可燃物清理、防火</w:t>
            </w:r>
            <w:r>
              <w:rPr>
                <w:rFonts w:hint="eastAsia" w:ascii="微软雅黑" w:hAnsi="微软雅黑" w:eastAsia="微软雅黑" w:cs="微软雅黑"/>
                <w:sz w:val="21"/>
                <w:szCs w:val="21"/>
              </w:rPr>
              <w:t>瞭</w:t>
            </w:r>
            <w:r>
              <w:rPr>
                <w:rFonts w:hint="eastAsia" w:ascii="楷体_GB2312" w:eastAsia="楷体_GB2312" w:cs="仿宋_GB2312"/>
                <w:sz w:val="21"/>
                <w:szCs w:val="21"/>
              </w:rPr>
              <w:t>望塔、无人机巡查系统、野玉海海坪消防系统、野鸡坪消防系</w:t>
            </w:r>
            <w:r>
              <w:rPr>
                <w:rFonts w:hint="eastAsia" w:ascii="楷体_GB2312" w:eastAsia="楷体_GB2312"/>
                <w:sz w:val="21"/>
                <w:szCs w:val="21"/>
              </w:rPr>
              <w:t>统、森林公园消防系统等项目建设。</w:t>
            </w:r>
          </w:p>
        </w:tc>
      </w:tr>
    </w:tbl>
    <w:p>
      <w:pPr>
        <w:pStyle w:val="6"/>
        <w:spacing w:before="222"/>
      </w:pPr>
      <w:bookmarkStart w:id="90" w:name="_Toc63250078"/>
      <w:r>
        <w:rPr>
          <w:rFonts w:hint="eastAsia"/>
        </w:rPr>
        <w:t>第二十七章 全力打好污染防治持久战</w:t>
      </w:r>
      <w:bookmarkEnd w:id="90"/>
    </w:p>
    <w:p>
      <w:pPr>
        <w:ind w:firstLine="640"/>
      </w:pPr>
      <w:r>
        <w:rPr>
          <w:rFonts w:hint="eastAsia"/>
        </w:rPr>
        <w:t>严格执行长江经济带生态环境保护‘三线一单’管控要求，并不断优化管控单元，从源头上做好污染防治。深入推进“双十工程”和污染防治，巩固生态环境质量改善成效。坚持防治并举原则，坚决打好污染防治“五场战役”。</w:t>
      </w:r>
    </w:p>
    <w:p>
      <w:pPr>
        <w:spacing w:line="570" w:lineRule="exact"/>
        <w:ind w:firstLine="0" w:firstLineChars="0"/>
        <w:jc w:val="center"/>
      </w:pPr>
      <w:r>
        <w:rPr>
          <w:rFonts w:hint="eastAsia"/>
          <w:b/>
          <w:bCs/>
        </w:rPr>
        <w:t>第一节 加强水污染防治</w:t>
      </w:r>
    </w:p>
    <w:p>
      <w:pPr>
        <w:ind w:firstLine="640"/>
      </w:pPr>
      <w:r>
        <w:rPr>
          <w:rFonts w:hint="eastAsia"/>
        </w:rPr>
        <w:t>坚持水污染防治和生态扩容并举，加快推进水污染治理、水生态修复和水资源保护“三水共治”，确保城镇污水处理率达</w:t>
      </w:r>
      <w:r>
        <w:t>85%以上</w:t>
      </w:r>
      <w:r>
        <w:rPr>
          <w:rFonts w:hint="eastAsia"/>
        </w:rPr>
        <w:t>。全力推进黑臭水体治理。强化千吨万人集中式饮用水源和农村饮用水源保护，加强集中式饮用水源地环境保护</w:t>
      </w:r>
      <w:r>
        <w:t>,</w:t>
      </w:r>
      <w:r>
        <w:rPr>
          <w:rFonts w:hint="eastAsia"/>
        </w:rPr>
        <w:t>全面完成县城以上集中式饮用水水源地整治，加快乡镇千人以上集中式饮用水水源地保护区规范化建设。</w:t>
      </w:r>
      <w:r>
        <w:t>加快完善污水处理设施，加强工业污水、城镇污水、农村污水治理。</w:t>
      </w:r>
      <w:r>
        <w:rPr>
          <w:rFonts w:hint="eastAsia"/>
        </w:rPr>
        <w:t>基本实现城镇污水处理设施和污水收集管网全覆盖，加强地下水污染防治。</w:t>
      </w:r>
      <w:r>
        <w:t>持续开展涉水行业企业和工业园区水污染深度治理，</w:t>
      </w:r>
      <w:r>
        <w:rPr>
          <w:rFonts w:hint="eastAsia"/>
        </w:rPr>
        <w:t>推进工业污水处理设施分类管理、分期改造。加大三岔河、北盘江等流域综合治理力度</w:t>
      </w:r>
      <w:r>
        <w:t>。</w:t>
      </w:r>
      <w:r>
        <w:rPr>
          <w:rFonts w:hint="eastAsia"/>
        </w:rPr>
        <w:t>到</w:t>
      </w:r>
      <w:r>
        <w:t>2025年，</w:t>
      </w:r>
      <w:r>
        <w:rPr>
          <w:rFonts w:hint="eastAsia"/>
        </w:rPr>
        <w:t>全区主要河流出境断面水质优良率和</w:t>
      </w:r>
      <w:r>
        <w:t>县城以上集中式饮用水源地水质达标率保持在100%。</w:t>
      </w:r>
    </w:p>
    <w:p>
      <w:pPr>
        <w:spacing w:line="570" w:lineRule="exact"/>
        <w:ind w:firstLine="0" w:firstLineChars="0"/>
        <w:jc w:val="center"/>
        <w:rPr>
          <w:b/>
          <w:bCs/>
        </w:rPr>
      </w:pPr>
      <w:r>
        <w:rPr>
          <w:rFonts w:hint="eastAsia"/>
          <w:b/>
          <w:bCs/>
        </w:rPr>
        <w:t>第二节 加强土壤污染防治</w:t>
      </w:r>
    </w:p>
    <w:p>
      <w:pPr>
        <w:ind w:firstLine="640"/>
      </w:pPr>
      <w:r>
        <w:t>深入推进土壤污染防治工作，加强土壤污染风险管控。</w:t>
      </w:r>
      <w:r>
        <w:rPr>
          <w:rFonts w:hint="eastAsia"/>
        </w:rPr>
        <w:t>加强土壤环境监测、评估、预防和执法体系建设。持续开展工业尾矿库、工业渣场综合整治。加快推行垃圾分类和减量化、资源化，推进建设用地土壤风险管控和污染修复，扎实做好受污染耕地安全利用和严格管控工作。</w:t>
      </w:r>
      <w:r>
        <w:t>提升保护修复耕地质量，加强重金属污染治理，推动农药、化肥使用减量化，</w:t>
      </w:r>
      <w:r>
        <w:rPr>
          <w:rFonts w:hint="eastAsia"/>
        </w:rPr>
        <w:t>严控除草剂使用，</w:t>
      </w:r>
      <w:r>
        <w:t>防治农用薄膜对耕地的污染，推动农业绿色化生产。</w:t>
      </w:r>
      <w:r>
        <w:rPr>
          <w:rFonts w:hint="eastAsia"/>
        </w:rPr>
        <w:t>加强农村生活垃圾和生活污水治理，推进农业面源和畜禽养殖业污染防治。到</w:t>
      </w:r>
      <w:r>
        <w:t>2025年，受污染耕地安全利用率达95%以上。</w:t>
      </w:r>
    </w:p>
    <w:p>
      <w:pPr>
        <w:spacing w:line="570" w:lineRule="exact"/>
        <w:ind w:firstLine="0" w:firstLineChars="0"/>
        <w:jc w:val="center"/>
      </w:pPr>
      <w:r>
        <w:rPr>
          <w:rFonts w:hint="eastAsia"/>
          <w:b/>
          <w:bCs/>
        </w:rPr>
        <w:t>第三节 加强大气污染防治</w:t>
      </w:r>
    </w:p>
    <w:p>
      <w:pPr>
        <w:ind w:firstLine="640"/>
        <w:rPr>
          <w:sz w:val="31"/>
          <w:szCs w:val="31"/>
        </w:rPr>
      </w:pPr>
      <w:r>
        <w:t>加强细颗粒物和臭氧协同控制，</w:t>
      </w:r>
      <w:r>
        <w:rPr>
          <w:rFonts w:hint="eastAsia"/>
        </w:rPr>
        <w:t>推进挥发性有机物综合治理。有效削减大气污染物排放总量。大力开展建筑工地、道路运输、矿山等扬尘防治</w:t>
      </w:r>
      <w:r>
        <w:t>，严格落实工业污染、道路保洁、汽车尾气等管控措施</w:t>
      </w:r>
      <w:r>
        <w:rPr>
          <w:rFonts w:hint="eastAsia"/>
        </w:rPr>
        <w:t>。</w:t>
      </w:r>
      <w:r>
        <w:t>加大工业</w:t>
      </w:r>
      <w:r>
        <w:rPr>
          <w:rFonts w:hint="eastAsia"/>
        </w:rPr>
        <w:t>废气治理力度，强化煤铝、化工、水泥等行业工业废气、烟尘、挥发性气体污染治理。</w:t>
      </w:r>
      <w:r>
        <w:t>开展化工、工业涂装、包装印刷、油品储运行业挥发性有机物综合治理</w:t>
      </w:r>
      <w:r>
        <w:rPr>
          <w:rFonts w:hint="eastAsia"/>
        </w:rPr>
        <w:t>。加强城镇餐饮油烟治理，持续推进</w:t>
      </w:r>
      <w:r>
        <w:t>噪声污染防治。积极应对气候变化</w:t>
      </w:r>
      <w:r>
        <w:rPr>
          <w:rFonts w:hint="eastAsia"/>
        </w:rPr>
        <w:t>，</w:t>
      </w:r>
      <w:r>
        <w:t>制定2030年</w:t>
      </w:r>
      <w:r>
        <w:rPr>
          <w:rFonts w:hint="eastAsia"/>
        </w:rPr>
        <w:t>全区</w:t>
      </w:r>
      <w:r>
        <w:t>碳排放达峰行动方案，降低碳排放强度，积极构建低碳能源体系，推进工业、建筑、交通等领域低碳化。到2025年，</w:t>
      </w:r>
      <w:r>
        <w:rPr>
          <w:rFonts w:hint="eastAsia"/>
          <w:sz w:val="31"/>
          <w:szCs w:val="31"/>
        </w:rPr>
        <w:t>城市空气质量优良天数比例保持在9</w:t>
      </w:r>
      <w:r>
        <w:rPr>
          <w:sz w:val="31"/>
          <w:szCs w:val="31"/>
        </w:rPr>
        <w:t>8</w:t>
      </w:r>
      <w:r>
        <w:rPr>
          <w:rFonts w:hint="eastAsia"/>
          <w:sz w:val="31"/>
          <w:szCs w:val="31"/>
        </w:rPr>
        <w:t>%以上。</w:t>
      </w:r>
    </w:p>
    <w:p>
      <w:pPr>
        <w:spacing w:line="570" w:lineRule="exact"/>
        <w:ind w:firstLine="0" w:firstLineChars="0"/>
        <w:jc w:val="center"/>
        <w:rPr>
          <w:b/>
          <w:bCs/>
        </w:rPr>
      </w:pPr>
      <w:r>
        <w:rPr>
          <w:rFonts w:hint="eastAsia"/>
          <w:b/>
          <w:bCs/>
        </w:rPr>
        <w:t>第四节 加强固体废物污染防治</w:t>
      </w:r>
    </w:p>
    <w:p>
      <w:pPr>
        <w:ind w:firstLine="640"/>
      </w:pPr>
      <w:r>
        <w:rPr>
          <w:rFonts w:hint="eastAsia"/>
        </w:rPr>
        <w:t>推进固体废弃物综合利用，构建更加完善的再生资源回收体系。推行垃圾分类和减量化、资源化。加强固体废物污染治理推进煤矸石、粉煤灰等固体废物综合利用，加强建设用地环境管理严格建设用地准入。着力开展生活垃圾分类处理，加强城镇生活垃圾无害化处理设施建设，构建城乡生活垃圾集收运体系，强化垃圾渗滤液处理；加强医疗等危废收集、运输、处置全过程监管，实现危废无害化处置。到</w:t>
      </w:r>
      <w:r>
        <w:t>2025年，全区城乡生活垃圾分类基本实现全覆盖，生活垃圾回</w:t>
      </w:r>
      <w:r>
        <w:rPr>
          <w:rFonts w:hint="eastAsia"/>
        </w:rPr>
        <w:t>收利用率到</w:t>
      </w:r>
      <w:r>
        <w:t>50%以上，医疗等危废无害化处理率达到100%。</w:t>
      </w:r>
    </w:p>
    <w:p>
      <w:pPr>
        <w:spacing w:line="570" w:lineRule="exact"/>
        <w:ind w:firstLine="0" w:firstLineChars="0"/>
        <w:jc w:val="center"/>
        <w:rPr>
          <w:b/>
          <w:bCs/>
        </w:rPr>
      </w:pPr>
      <w:r>
        <w:rPr>
          <w:rFonts w:hint="eastAsia"/>
          <w:b/>
          <w:bCs/>
        </w:rPr>
        <w:t>第五节 加强乡村生态系统保护和修复</w:t>
      </w:r>
    </w:p>
    <w:p>
      <w:pPr>
        <w:spacing w:after="120"/>
        <w:ind w:firstLine="640"/>
      </w:pPr>
      <w:r>
        <w:rPr>
          <w:rFonts w:hint="eastAsia"/>
        </w:rPr>
        <w:t>完善重要生态系统保护制度，全面提升乡村生态系统功能和稳定性，增强生态产品供给能力。强化农业资源保护与节约利用，加强农业环境突出问题治理，加强农产品产地污染源头预防，推进畜禽粪污综合利用，推进农业废弃物循环利用，推进农村土地污染治理，加强农业面源污染防治，防止工业和城镇污染向乡村转移。</w:t>
      </w:r>
      <w:bookmarkStart w:id="91" w:name="_Hlk56075022"/>
      <w:r>
        <w:rPr>
          <w:rFonts w:hint="eastAsia"/>
        </w:rPr>
        <w:t>强化农村生活垃圾分类投放，提高生活垃圾分类水平，农村生活垃圾收运覆盖率达到9</w:t>
      </w:r>
      <w:r>
        <w:t>0</w:t>
      </w:r>
      <w:r>
        <w:rPr>
          <w:rFonts w:hint="eastAsia"/>
        </w:rPr>
        <w:t>%以上，乡村建成区垃圾分类覆盖率达到6</w:t>
      </w:r>
      <w:r>
        <w:t>5</w:t>
      </w:r>
      <w:r>
        <w:rPr>
          <w:rFonts w:hint="eastAsia"/>
        </w:rPr>
        <w:t>%，生活垃圾回收利用率达到5</w:t>
      </w:r>
      <w:r>
        <w:t>0</w:t>
      </w:r>
      <w:r>
        <w:rPr>
          <w:rFonts w:hint="eastAsia"/>
        </w:rPr>
        <w:t>%以上。</w:t>
      </w:r>
      <w:bookmarkEnd w:id="91"/>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30</w:t>
            </w:r>
            <w:r>
              <w:rPr>
                <w:rFonts w:hint="eastAsia" w:ascii="楷体" w:hAnsi="楷体" w:eastAsia="楷体"/>
                <w:sz w:val="26"/>
                <w:szCs w:val="26"/>
              </w:rPr>
              <w:t xml:space="preserve"> 污染防治重点项目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1</w:t>
            </w:r>
            <w:r>
              <w:rPr>
                <w:rFonts w:hint="eastAsia"/>
                <w:b/>
                <w:bCs/>
                <w:sz w:val="28"/>
                <w:szCs w:val="28"/>
              </w:rPr>
              <w:t>“</w:t>
            </w:r>
            <w:r>
              <w:rPr>
                <w:rFonts w:hint="eastAsia" w:ascii="楷体_GB2312" w:eastAsia="楷体_GB2312"/>
                <w:b/>
                <w:bCs/>
                <w:sz w:val="21"/>
                <w:szCs w:val="21"/>
              </w:rPr>
              <w:t>蓝天工程</w:t>
            </w:r>
            <w:r>
              <w:rPr>
                <w:rFonts w:hint="eastAsia"/>
                <w:b/>
                <w:bCs/>
                <w:sz w:val="28"/>
                <w:szCs w:val="28"/>
              </w:rPr>
              <w:t>”</w:t>
            </w:r>
          </w:p>
          <w:p>
            <w:pPr>
              <w:spacing w:before="60" w:line="280" w:lineRule="exact"/>
              <w:ind w:firstLine="420"/>
              <w:rPr>
                <w:rFonts w:ascii="楷体" w:hAnsi="楷体" w:eastAsia="楷体"/>
                <w:sz w:val="26"/>
                <w:szCs w:val="26"/>
              </w:rPr>
            </w:pPr>
            <w:r>
              <w:rPr>
                <w:rFonts w:hint="eastAsia" w:ascii="楷体_GB2312" w:eastAsia="楷体_GB2312"/>
                <w:sz w:val="21"/>
                <w:szCs w:val="21"/>
              </w:rPr>
              <w:t>重点推进水城大气网格化监测预警系统建设项目。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“碧水工程”</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城乡污水处理整区推进示范工程、水城城镇污水处理一体化工程、水城医用污水处理工程、发耳园区工业污水处理工程等项目建设。推进水城观音岩、雨汪河、万营、大滩子、布纱桥、鱼目柱、二河水库集中式饮用水水源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“净土工程”</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重点实施水城区餐厨垃圾处置项目建设，全域土地综合整治项目。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789"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“清废工程”</w:t>
            </w:r>
          </w:p>
          <w:p>
            <w:pPr>
              <w:spacing w:after="60" w:line="280" w:lineRule="exact"/>
              <w:ind w:firstLine="420"/>
            </w:pPr>
            <w:r>
              <w:rPr>
                <w:rFonts w:hint="eastAsia" w:ascii="楷体_GB2312" w:eastAsia="楷体_GB2312"/>
                <w:sz w:val="21"/>
                <w:szCs w:val="21"/>
              </w:rPr>
              <w:t>重点实施水城经开区固体废弃物综合处理设施、水城区生活垃圾收集及焚烧发电、水城生物发电项目、水城经开区电石气焦炉气综合利用、水城垃圾分类分拣中心（建设垃圾分类分拣中心10个）、六盘水市东城区建筑垃圾消纳场、发耳建筑垃圾消纳场等项目建设。</w:t>
            </w:r>
          </w:p>
        </w:tc>
      </w:tr>
    </w:tbl>
    <w:p>
      <w:pPr>
        <w:pStyle w:val="6"/>
        <w:spacing w:before="222"/>
      </w:pPr>
      <w:bookmarkStart w:id="92" w:name="_Toc63250079"/>
      <w:r>
        <w:rPr>
          <w:rFonts w:hint="eastAsia"/>
        </w:rPr>
        <w:t>第二十八章 大力发展绿色生态经济</w:t>
      </w:r>
      <w:bookmarkEnd w:id="92"/>
    </w:p>
    <w:p>
      <w:pPr>
        <w:ind w:firstLine="640"/>
      </w:pPr>
      <w:r>
        <w:rPr>
          <w:rFonts w:hint="eastAsia"/>
        </w:rPr>
        <w:t>深入实施可持续发展战略，大力发展绿色经济“四型十五种”产业，加快构建生态产业化、产业生态化为主体的生态经济体系。推动生态增值、生产增效、生活增收。</w:t>
      </w:r>
    </w:p>
    <w:p>
      <w:pPr>
        <w:pStyle w:val="2"/>
        <w:rPr>
          <w:rFonts w:eastAsiaTheme="minorEastAsia"/>
        </w:rPr>
      </w:pPr>
    </w:p>
    <w:p>
      <w:pPr>
        <w:ind w:firstLine="0" w:firstLineChars="0"/>
        <w:jc w:val="center"/>
        <w:rPr>
          <w:b/>
          <w:bCs/>
        </w:rPr>
      </w:pPr>
      <w:r>
        <w:rPr>
          <w:rFonts w:hint="eastAsia"/>
          <w:b/>
          <w:bCs/>
        </w:rPr>
        <w:t>第一节 大力发展绿色产业</w:t>
      </w:r>
    </w:p>
    <w:p>
      <w:pPr>
        <w:ind w:firstLine="640"/>
      </w:pPr>
      <w:r>
        <w:rPr>
          <w:rFonts w:hint="eastAsia"/>
        </w:rPr>
        <w:t>深入实施绿色制造专项行动，创建绿色工厂、绿色园区，培育绿色企业，提高煤炭、电力、矿产资源开发、化工、有色、建材等行业绿色化水平。健全资源循环利用政策体系，大力推进粉煤灰、煤矸石等大宗固体废物规模化、产业化综合利用，增强资源利用能力。推动绿色无公害有机生态农业、林下种养殖、环保装备、绿色建筑、绿色包装、绿色物流等绿色生态产业加快发展。推动能源清洁低碳安全高效利用。大力发展绿色建筑。加快培育壮大绿色生态产业市场主体，鼓励民营企业参与生态保护、环境治理及绿色产业发展。推行绿色生产生活方式，倡导绿色出行，建立绿色消费激励机制。</w:t>
      </w:r>
    </w:p>
    <w:p>
      <w:pPr>
        <w:ind w:firstLine="0" w:firstLineChars="0"/>
        <w:jc w:val="center"/>
        <w:rPr>
          <w:b/>
          <w:bCs/>
        </w:rPr>
      </w:pPr>
      <w:r>
        <w:rPr>
          <w:rFonts w:hint="eastAsia"/>
          <w:b/>
          <w:bCs/>
        </w:rPr>
        <w:t>第二节 大力推进节能降耗</w:t>
      </w:r>
    </w:p>
    <w:p>
      <w:pPr>
        <w:ind w:firstLine="640"/>
      </w:pPr>
      <w:r>
        <w:rPr>
          <w:rFonts w:hint="eastAsia"/>
        </w:rPr>
        <w:t>坚持能源消耗和强度“双控</w:t>
      </w:r>
      <w:r>
        <w:t>"并重，加强能源统计、监测和预警。强化建筑、交通运输、商贸流通、农业农村、公共机构等领域节能技改，推进钢铁、电力、化工、建材、煤炭等重点耗能行业和重点用能单位节能管理</w:t>
      </w:r>
      <w:r>
        <w:rPr>
          <w:rFonts w:hint="eastAsia"/>
        </w:rPr>
        <w:t>。探索</w:t>
      </w:r>
      <w:r>
        <w:t>推广合同能源管理模式。</w:t>
      </w:r>
      <w:r>
        <w:rPr>
          <w:rFonts w:hint="eastAsia"/>
        </w:rPr>
        <w:t>强化水资源刚性约束，建设节水型社会，大力开展农业节水行动，全面开展工业节水升级改造，</w:t>
      </w:r>
      <w:r>
        <w:t>严格控制高耗水服务业用水，积极推行水循环梯级利用，着力推进城镇节水降损，在城镇景观绿化、道路清扫、建筑施工等领域优先利用再生水、雨水等非常规水源。加大对节能减排重点项目、重点污染治理项目、企业节能环保技术改造和转型升级项目的金融支持力度，严格执行“环保一票否决制”，引导社会资本进入节能环保服务</w:t>
      </w:r>
      <w:r>
        <w:rPr>
          <w:rFonts w:hint="eastAsia"/>
        </w:rPr>
        <w:t>领域，培育和引进节能环保设施设备研发、制造等企业。到2</w:t>
      </w:r>
      <w:r>
        <w:t>025</w:t>
      </w:r>
      <w:r>
        <w:rPr>
          <w:rFonts w:hint="eastAsia"/>
        </w:rPr>
        <w:t>年，全区用水总量控制在</w:t>
      </w:r>
      <w:r>
        <w:t>2.26</w:t>
      </w:r>
      <w:r>
        <w:rPr>
          <w:rFonts w:hint="eastAsia"/>
        </w:rPr>
        <w:t>亿立方米以内。</w:t>
      </w:r>
    </w:p>
    <w:p>
      <w:pPr>
        <w:ind w:firstLine="0" w:firstLineChars="0"/>
        <w:jc w:val="center"/>
        <w:rPr>
          <w:b/>
          <w:bCs/>
        </w:rPr>
      </w:pPr>
      <w:r>
        <w:rPr>
          <w:rFonts w:hint="eastAsia"/>
          <w:b/>
          <w:bCs/>
        </w:rPr>
        <w:t>第三节 大力发展循环经济</w:t>
      </w:r>
    </w:p>
    <w:p>
      <w:pPr>
        <w:ind w:firstLine="640"/>
      </w:pPr>
      <w:r>
        <w:rPr>
          <w:rFonts w:hint="eastAsia"/>
        </w:rPr>
        <w:t>强化能源高效利用、污染物防治和安全处置、资源回收利用和循环利用，增强资源利用能力。积极推进煤炭分质分级梯级利用，加大煤矿瓦斯、煤矸石、矿井水资源综合利用产业化和多重功能化发展，加快构建“煤、电、焦、气、化、材、热、纺”循环经济产业链，实现煤炭资源循环高效利用。促进资源再生利用企业集聚化、园区化、区域协同化布局，提升再生资源利用行业清洁化、高值化水平。建立废弃物在线回收、交易等平台，推广“互联网</w:t>
      </w:r>
      <w:r>
        <w:t>+”回收新模式，推进动力蓄电池梯级利用和规范回收处理。加强土地资源节约高效利用，盘活存量建设用地，推进低效用地再开发，着力提高建设用地利用效益，逐步减少新增建设用地</w:t>
      </w:r>
      <w:r>
        <w:rPr>
          <w:rFonts w:hint="eastAsia"/>
        </w:rPr>
        <w:t>规模。2</w:t>
      </w:r>
      <w:r>
        <w:t>025</w:t>
      </w:r>
      <w:r>
        <w:rPr>
          <w:rFonts w:hint="eastAsia"/>
        </w:rPr>
        <w:t>年，力争全区工业固废综合利用率达到</w:t>
      </w:r>
      <w:r>
        <w:t>80%以上。</w:t>
      </w:r>
    </w:p>
    <w:p>
      <w:pPr>
        <w:ind w:firstLine="0" w:firstLineChars="0"/>
        <w:jc w:val="center"/>
        <w:rPr>
          <w:b/>
          <w:bCs/>
        </w:rPr>
      </w:pPr>
      <w:r>
        <w:rPr>
          <w:rFonts w:hint="eastAsia"/>
          <w:b/>
          <w:bCs/>
        </w:rPr>
        <w:t>第四节 大力倡导绿色生活方式</w:t>
      </w:r>
    </w:p>
    <w:p>
      <w:pPr>
        <w:spacing w:after="120"/>
        <w:ind w:firstLine="640"/>
      </w:pPr>
      <w:r>
        <w:rPr>
          <w:rFonts w:hint="eastAsia"/>
        </w:rPr>
        <w:t>加强绿色生活方式宣传引导，深入推进绿色生活方式创建行动。大力提倡节俭节约、绿色低碳、文明健康的生活方式和消费模式，充分利用世界地球日、植树节、世界环境日、贵州生态日等重要时节加大宣传力度，普及生态文明知识，倡导生态文明行为。加快节约型机关、绿色家庭、绿色学校、绿色社区、绿色商场建设，厉行节约，制止餐饮浪费，合理控制室内空调温度，减少无效照明，鼓励步行、共享单车、公共交通等低碳出行，减少一次性用品、塑料制品使用。倡导绿色出行，建立绿色消费激励机制，落实新能源汽车购置补贴、税收优惠等政策，推动环卫、物流配送等行业加快更换新能源汽车，切实提高能效标识二级以上家电、环保装修材料等市场占有率和使用率。加快推进城区实施生活垃圾分类相关工作。大力研发推广节能低碳建筑材料和工艺技术，大力发展装配式建筑。加强舆论监督，鼓励新闻媒体对各类破坏生态环境问题、突发环境事件、环境违法行为进行曝光。</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31</w:t>
            </w:r>
            <w:r>
              <w:rPr>
                <w:rFonts w:hint="eastAsia" w:ascii="楷体" w:hAnsi="楷体" w:eastAsia="楷体"/>
                <w:sz w:val="26"/>
                <w:szCs w:val="26"/>
              </w:rPr>
              <w:t xml:space="preserve"> 绿色循环经济建设重点项目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jc w:val="left"/>
              <w:rPr>
                <w:rFonts w:ascii="楷体_GB2312" w:eastAsia="楷体_GB2312"/>
                <w:b/>
                <w:sz w:val="21"/>
                <w:szCs w:val="21"/>
              </w:rPr>
            </w:pPr>
            <w:r>
              <w:rPr>
                <w:rFonts w:hint="eastAsia" w:ascii="楷体_GB2312" w:eastAsia="楷体_GB2312"/>
                <w:b/>
                <w:sz w:val="21"/>
                <w:szCs w:val="21"/>
              </w:rPr>
              <w:t>0</w:t>
            </w:r>
            <w:r>
              <w:rPr>
                <w:rFonts w:ascii="楷体_GB2312" w:eastAsia="楷体_GB2312"/>
                <w:b/>
                <w:sz w:val="21"/>
                <w:szCs w:val="21"/>
              </w:rPr>
              <w:t xml:space="preserve">1 </w:t>
            </w:r>
            <w:r>
              <w:rPr>
                <w:rFonts w:hint="eastAsia" w:ascii="楷体_GB2312" w:eastAsia="楷体_GB2312"/>
                <w:b/>
                <w:sz w:val="21"/>
                <w:szCs w:val="21"/>
              </w:rPr>
              <w:t>城乡循环化改造项目</w:t>
            </w:r>
          </w:p>
          <w:p>
            <w:pPr>
              <w:spacing w:line="260" w:lineRule="exact"/>
              <w:ind w:firstLine="420"/>
              <w:jc w:val="left"/>
              <w:rPr>
                <w:rFonts w:ascii="楷体" w:hAnsi="楷体" w:eastAsia="楷体"/>
                <w:sz w:val="26"/>
                <w:szCs w:val="26"/>
              </w:rPr>
            </w:pPr>
            <w:r>
              <w:rPr>
                <w:rFonts w:hint="eastAsia" w:ascii="楷体_GB2312" w:eastAsia="楷体_GB2312"/>
                <w:sz w:val="21"/>
                <w:szCs w:val="21"/>
              </w:rPr>
              <w:t>重点实施畜禽养殖粪污资源化利用项目，城乡厨余垃圾无害化处置及垃圾资源化利用项目，城乡生活垃圾收运处置一体化项目。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jc w:val="left"/>
              <w:rPr>
                <w:rFonts w:ascii="楷体_GB2312" w:eastAsia="楷体_GB2312"/>
                <w:b/>
                <w:sz w:val="21"/>
                <w:szCs w:val="21"/>
              </w:rPr>
            </w:pPr>
            <w:r>
              <w:rPr>
                <w:rFonts w:hint="eastAsia" w:ascii="楷体_GB2312" w:eastAsia="楷体_GB2312"/>
                <w:b/>
                <w:sz w:val="21"/>
                <w:szCs w:val="21"/>
              </w:rPr>
              <w:t>0</w:t>
            </w:r>
            <w:r>
              <w:rPr>
                <w:rFonts w:ascii="楷体_GB2312" w:eastAsia="楷体_GB2312"/>
                <w:b/>
                <w:sz w:val="21"/>
                <w:szCs w:val="21"/>
              </w:rPr>
              <w:t xml:space="preserve">2 </w:t>
            </w:r>
            <w:r>
              <w:rPr>
                <w:rFonts w:hint="eastAsia" w:ascii="楷体_GB2312" w:eastAsia="楷体_GB2312"/>
                <w:b/>
                <w:sz w:val="21"/>
                <w:szCs w:val="21"/>
              </w:rPr>
              <w:t>园区循环化改造</w:t>
            </w:r>
          </w:p>
          <w:p>
            <w:pPr>
              <w:spacing w:line="280" w:lineRule="exact"/>
              <w:ind w:firstLine="420"/>
              <w:rPr>
                <w:rFonts w:ascii="楷体" w:hAnsi="楷体" w:eastAsia="楷体"/>
                <w:sz w:val="26"/>
                <w:szCs w:val="26"/>
              </w:rPr>
            </w:pPr>
            <w:r>
              <w:rPr>
                <w:rFonts w:hint="eastAsia" w:ascii="楷体_GB2312" w:eastAsia="楷体_GB2312"/>
                <w:sz w:val="21"/>
                <w:szCs w:val="21"/>
              </w:rPr>
              <w:t>重点推进水城经开区、水城发耳园区循环化改造、水城发耳电厂废弃物综合利用等项目建设。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89" w:type="dxa"/>
          </w:tcPr>
          <w:p>
            <w:pPr>
              <w:spacing w:before="60" w:line="260" w:lineRule="exact"/>
              <w:ind w:firstLine="0" w:firstLineChars="0"/>
              <w:jc w:val="left"/>
              <w:rPr>
                <w:rFonts w:ascii="楷体_GB2312" w:eastAsia="楷体_GB2312"/>
                <w:b/>
                <w:sz w:val="21"/>
                <w:szCs w:val="21"/>
              </w:rPr>
            </w:pPr>
            <w:r>
              <w:rPr>
                <w:rFonts w:hint="eastAsia" w:ascii="楷体_GB2312" w:eastAsia="楷体_GB2312"/>
                <w:b/>
                <w:sz w:val="21"/>
                <w:szCs w:val="21"/>
              </w:rPr>
              <w:t>0</w:t>
            </w:r>
            <w:r>
              <w:rPr>
                <w:rFonts w:ascii="楷体_GB2312" w:eastAsia="楷体_GB2312"/>
                <w:b/>
                <w:sz w:val="21"/>
                <w:szCs w:val="21"/>
              </w:rPr>
              <w:t xml:space="preserve">3 </w:t>
            </w:r>
            <w:r>
              <w:rPr>
                <w:rFonts w:hint="eastAsia" w:ascii="楷体_GB2312" w:eastAsia="楷体_GB2312"/>
                <w:b/>
                <w:sz w:val="21"/>
                <w:szCs w:val="21"/>
              </w:rPr>
              <w:t>生物多样性保护与恢复</w:t>
            </w:r>
          </w:p>
          <w:p>
            <w:pPr>
              <w:spacing w:after="60" w:line="280" w:lineRule="exact"/>
              <w:ind w:firstLine="420"/>
              <w:rPr>
                <w:sz w:val="28"/>
                <w:szCs w:val="28"/>
              </w:rPr>
            </w:pPr>
            <w:r>
              <w:rPr>
                <w:rFonts w:hint="eastAsia" w:ascii="楷体_GB2312" w:eastAsia="楷体_GB2312"/>
                <w:sz w:val="21"/>
                <w:szCs w:val="21"/>
              </w:rPr>
              <w:t>重点推进水城玉舍老林沟自然保护区建设。</w:t>
            </w:r>
          </w:p>
        </w:tc>
      </w:tr>
    </w:tbl>
    <w:p>
      <w:pPr>
        <w:pStyle w:val="6"/>
        <w:spacing w:before="222"/>
      </w:pPr>
      <w:bookmarkStart w:id="93" w:name="_Toc63250080"/>
      <w:r>
        <w:rPr>
          <w:rFonts w:hint="eastAsia"/>
        </w:rPr>
        <w:t>第二十九章 完善生态文明制度体系</w:t>
      </w:r>
      <w:bookmarkEnd w:id="93"/>
    </w:p>
    <w:p>
      <w:pPr>
        <w:ind w:firstLine="640"/>
      </w:pPr>
      <w:r>
        <w:rPr>
          <w:rFonts w:hint="eastAsia"/>
        </w:rPr>
        <w:t>探索建立生态资源价值实现机制，建立健全自然资源集约节约和高效利用制度。巩固完善森林生态效益补偿机制，实施资源有偿使用和生态补偿制度，加快推进北盘江纳入生态补偿范围。加快完善生态文明绩效评价考核和责任追究制度，全面推行河长制、湖长制、林长制。完善自然保护地、生态保护红线监管制度，开展生态系统保护成效监测评估。</w:t>
      </w:r>
    </w:p>
    <w:p>
      <w:pPr>
        <w:spacing w:after="120"/>
        <w:ind w:firstLine="640"/>
      </w:pPr>
      <w:r>
        <w:rPr>
          <w:rFonts w:hint="eastAsia"/>
        </w:rPr>
        <w:t>健全环境应急体系。建立健全公诉和执法司法制度。巩固完善森林生态效益补偿机制。实施资源有偿使用和生态补偿制度。完善生态环境损害赔偿机制。探索实施环境污染强制责任保险。推动排污权、碳排放权等市场化交易。通过市场化机制进行生态资源管理、资源整合、资源转换、资源提升、资源交易和持续运营探索，并形成自然资源“确权—评估—流转—储备—提升—开发—保护”的全过程工作流程。积极引入有实力有经验的社会资本，通过市场化的机制，引入旅游等产业，探索和借鉴“生态银行”、“两山银行”等创新模式，对山水林田湖等生态资源进行整体式综合性开发。</w:t>
      </w:r>
    </w:p>
    <w:tbl>
      <w:tblPr>
        <w:tblStyle w:val="15"/>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8" w:hRule="atLeast"/>
        </w:trPr>
        <w:tc>
          <w:tcPr>
            <w:tcW w:w="87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240" w:lineRule="auto"/>
              <w:ind w:firstLine="18" w:firstLineChars="7"/>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 xml:space="preserve">32 </w:t>
            </w:r>
            <w:r>
              <w:rPr>
                <w:rFonts w:hint="eastAsia" w:ascii="楷体" w:hAnsi="楷体" w:eastAsia="楷体"/>
                <w:sz w:val="26"/>
                <w:szCs w:val="26"/>
              </w:rPr>
              <w:t>完善生态文明体制机制重点项目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87" w:hRule="atLeast"/>
        </w:trPr>
        <w:tc>
          <w:tcPr>
            <w:tcW w:w="87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before="60" w:line="280" w:lineRule="exact"/>
              <w:ind w:firstLine="422"/>
              <w:rPr>
                <w:rFonts w:ascii="楷体_GB2312" w:hAnsi="Times New Roman" w:eastAsia="楷体_GB2312"/>
                <w:sz w:val="21"/>
                <w:szCs w:val="21"/>
              </w:rPr>
            </w:pPr>
            <w:r>
              <w:rPr>
                <w:rFonts w:hint="eastAsia" w:ascii="楷体_GB2312" w:hAnsi="Times New Roman" w:eastAsia="楷体_GB2312"/>
                <w:b/>
                <w:bCs/>
                <w:sz w:val="21"/>
                <w:szCs w:val="21"/>
              </w:rPr>
              <w:t>生态环境应急体制建设</w:t>
            </w:r>
          </w:p>
          <w:p>
            <w:pPr>
              <w:spacing w:before="60" w:line="280" w:lineRule="exact"/>
              <w:ind w:firstLine="420"/>
              <w:rPr>
                <w:rFonts w:ascii="楷体_GB2312" w:hAnsi="Times New Roman" w:eastAsia="楷体_GB2312"/>
                <w:sz w:val="21"/>
                <w:szCs w:val="21"/>
              </w:rPr>
            </w:pPr>
            <w:r>
              <w:rPr>
                <w:rFonts w:hint="eastAsia" w:ascii="楷体_GB2312" w:hAnsi="Times New Roman" w:eastAsia="楷体_GB2312"/>
                <w:sz w:val="21"/>
                <w:szCs w:val="21"/>
              </w:rPr>
              <w:t>重点推进水城区生态环境应急监控指挥管理体系项目建设（包括生态环境应急管理制度建设、生态环境应急队伍建设、生态环境应急设备建设、生态环境应急前端数据采集系统建设、生态环境应急管理数据库建设和生态环境应急监管指挥中心建设）。</w:t>
            </w:r>
          </w:p>
        </w:tc>
      </w:tr>
    </w:tbl>
    <w:p>
      <w:pPr>
        <w:pStyle w:val="5"/>
        <w:jc w:val="center"/>
      </w:pPr>
      <w:bookmarkStart w:id="94" w:name="_Toc63250081"/>
      <w:r>
        <w:rPr>
          <w:rFonts w:hint="eastAsia"/>
        </w:rPr>
        <w:t>第九篇 坚持扩大内需战略基点，高质量构筑对外开放新高地</w:t>
      </w:r>
      <w:bookmarkEnd w:id="94"/>
    </w:p>
    <w:p>
      <w:pPr>
        <w:ind w:firstLine="640"/>
      </w:pPr>
      <w:r>
        <w:rPr>
          <w:rFonts w:hint="eastAsia"/>
        </w:rPr>
        <w:t>聚焦国内大循环为主体、国内国际双循环相互促进的新发展格局，着力突出扩大内需这个战略基点，以“两新一重”投资为战略抓手，以实体经济为依托，充分发挥市场在资源配置中的决定性作用，坚持推进供给侧结构性改革，精准扩大有效投资，加快释放消费潜力，完善现代流通体系，努力提升</w:t>
      </w:r>
      <w:r>
        <w:rPr>
          <w:rFonts w:hint="eastAsia"/>
          <w:lang w:eastAsia="zh-CN"/>
        </w:rPr>
        <w:t>康养水城</w:t>
      </w:r>
      <w:r>
        <w:rPr>
          <w:rFonts w:hint="eastAsia"/>
        </w:rPr>
        <w:t>区域竞争力，积极融入国内大循环。</w:t>
      </w:r>
    </w:p>
    <w:p>
      <w:pPr>
        <w:pStyle w:val="6"/>
        <w:spacing w:before="222"/>
      </w:pPr>
      <w:bookmarkStart w:id="95" w:name="_Toc63250082"/>
      <w:r>
        <w:rPr>
          <w:rFonts w:hint="eastAsia"/>
        </w:rPr>
        <w:t>第三十章 多环节参与国内市场</w:t>
      </w:r>
      <w:bookmarkEnd w:id="95"/>
    </w:p>
    <w:p>
      <w:pPr>
        <w:ind w:firstLine="640"/>
      </w:pPr>
      <w:r>
        <w:rPr>
          <w:rFonts w:hint="eastAsia"/>
        </w:rPr>
        <w:t>坚持高质量发展要求，立足国内大循环，贯通生产、分配、流通、消费各个环节，全方位全要素高效率的融入双循环。</w:t>
      </w:r>
    </w:p>
    <w:p>
      <w:pPr>
        <w:spacing w:line="570" w:lineRule="exact"/>
        <w:ind w:firstLine="0" w:firstLineChars="0"/>
        <w:jc w:val="center"/>
        <w:rPr>
          <w:b/>
          <w:bCs/>
        </w:rPr>
      </w:pPr>
      <w:r>
        <w:rPr>
          <w:rFonts w:hint="eastAsia"/>
          <w:b/>
          <w:bCs/>
        </w:rPr>
        <w:t>第一节 不断提升有效供给能力</w:t>
      </w:r>
    </w:p>
    <w:p>
      <w:pPr>
        <w:ind w:firstLine="640"/>
      </w:pPr>
      <w:r>
        <w:rPr>
          <w:rFonts w:hint="eastAsia"/>
        </w:rPr>
        <w:t>坚持供给侧结构性改革方向，抓住扩大内需战略基点，促进一二三产在生产、分配、流通、消费的各个环节参与国内市场，形成需求牵引供给、供给创造需求的更高水平动态平衡。在深度融入毕水兴经济带和黔中经济圈的基础上，加快融入国家“一带一路”、长江经济带、粤港澳大湾区建设、西部陆海新通道建设。</w:t>
      </w:r>
    </w:p>
    <w:p>
      <w:pPr>
        <w:ind w:firstLine="640"/>
      </w:pPr>
      <w:r>
        <w:rPr>
          <w:rFonts w:hint="eastAsia"/>
        </w:rPr>
        <w:t>鼓励企业深耕细分市场，以质量、标准、品牌为引领，着力提升生产能力和水平，推动新技术、新产业、新业态蓬勃发展，不断优化供给结构，改善供给质量，不断提高煤炭、电力、新能源、矿产资源精深加工、绿色生态食品、新型功能材料等产品以及旅游服务产品的竞争力，创建一批地方特色品牌，更好适应多层次、个性化消费需求。</w:t>
      </w:r>
    </w:p>
    <w:p>
      <w:pPr>
        <w:ind w:firstLine="640"/>
      </w:pPr>
      <w:r>
        <w:rPr>
          <w:rFonts w:hint="eastAsia"/>
        </w:rPr>
        <w:t>推动金融同实体经济均衡发展，实现上下游、产供销有效衔接，促进农业、制造业、服务业等产业融合发展，不断延伸产业链。深化供给侧结构性改革，进一步淘汰落后产能，推动资源要素集中到高效产能、规模产能、先进产能，稳定和提升产业链供应链水平。进一步减轻企业成本负担，继续推进减税降费、减租降息，增强扩大再产能力。完善住房市场体系，更好满足群众多样化住房需求。加快补齐基础设施、教育卫生、应急储备等领域短板，为融入新发展格局创造更好的发展环境。</w:t>
      </w:r>
    </w:p>
    <w:p>
      <w:pPr>
        <w:ind w:firstLine="0" w:firstLineChars="0"/>
        <w:jc w:val="center"/>
        <w:rPr>
          <w:b/>
          <w:bCs/>
        </w:rPr>
      </w:pPr>
      <w:r>
        <w:rPr>
          <w:rFonts w:hint="eastAsia"/>
          <w:b/>
          <w:bCs/>
        </w:rPr>
        <w:t xml:space="preserve">第二节 </w:t>
      </w:r>
      <w:r>
        <w:rPr>
          <w:b/>
          <w:bCs/>
        </w:rPr>
        <w:t>促进资源要素顺畅流动</w:t>
      </w:r>
    </w:p>
    <w:p>
      <w:pPr>
        <w:ind w:firstLine="640"/>
      </w:pPr>
      <w:r>
        <w:t>着力破除妨碍生产要素市场化配置和商品服务流通的体制机制障碍，降低全社会交易成本。全面实施市场准入负面清单制度，严格落实</w:t>
      </w:r>
      <w:r>
        <w:rPr>
          <w:rFonts w:hint="eastAsia"/>
        </w:rPr>
        <w:t>“</w:t>
      </w:r>
      <w:r>
        <w:t>全国一张清单</w:t>
      </w:r>
      <w:r>
        <w:rPr>
          <w:rFonts w:hint="eastAsia"/>
        </w:rPr>
        <w:t>”</w:t>
      </w:r>
      <w:r>
        <w:t>管理模式，推动</w:t>
      </w:r>
      <w:r>
        <w:rPr>
          <w:rFonts w:hint="eastAsia"/>
        </w:rPr>
        <w:t>“</w:t>
      </w:r>
      <w:r>
        <w:t>非禁即入</w:t>
      </w:r>
      <w:r>
        <w:rPr>
          <w:rFonts w:hint="eastAsia"/>
        </w:rPr>
        <w:t>”</w:t>
      </w:r>
      <w:r>
        <w:t>普遍落实。全面落实公平竞争审查制度，推动公平竞争审查全覆盖，强化公平竞争审查刚性约束，建立责任追究机制。加强统一的市场监督，严厉查处行政垄断、市场垄断等限制竞争行为，捍卫市场公平，促进经济持续健康发展。加快建设统一开放、竞争有序的市场体</w:t>
      </w:r>
      <w:r>
        <w:rPr>
          <w:rFonts w:hint="eastAsia"/>
        </w:rPr>
        <w:t>系，</w:t>
      </w:r>
      <w:r>
        <w:t>促进生产资料和生活资料高效流通。建立健全城乡统一的建设用地市场，加快土地要素向优质高效领域和行业集中，推动不同产业用地类型的合理转换，引导劳动力要素合理畅通有序流动，推动公共就业服务常住人口全覆盖。畅通劳动力和人才社会性流动渠道</w:t>
      </w:r>
      <w:r>
        <w:rPr>
          <w:rFonts w:hint="eastAsia"/>
        </w:rPr>
        <w:t>。积极</w:t>
      </w:r>
      <w:r>
        <w:t>发展区域性股权交易市场</w:t>
      </w:r>
      <w:r>
        <w:rPr>
          <w:rFonts w:hint="eastAsia"/>
        </w:rPr>
        <w:t>，</w:t>
      </w:r>
      <w:r>
        <w:t>加快推进债券市场发展</w:t>
      </w:r>
      <w:r>
        <w:rPr>
          <w:rFonts w:hint="eastAsia"/>
        </w:rPr>
        <w:t>。</w:t>
      </w:r>
      <w:r>
        <w:t>加快发展技术要素市场，加快推进应用技术类科研院所市场化、企业化发展，促进技术要素与资本要素融合发展，推动数据资源跨行业、跨区域流通交易。</w:t>
      </w:r>
    </w:p>
    <w:p>
      <w:pPr>
        <w:pStyle w:val="2"/>
        <w:rPr>
          <w:rFonts w:eastAsiaTheme="minorEastAsia"/>
        </w:rPr>
      </w:pPr>
    </w:p>
    <w:p>
      <w:pPr>
        <w:ind w:firstLine="0" w:firstLineChars="0"/>
        <w:jc w:val="center"/>
        <w:rPr>
          <w:b/>
          <w:bCs/>
        </w:rPr>
      </w:pPr>
      <w:r>
        <w:rPr>
          <w:rFonts w:hint="eastAsia"/>
          <w:b/>
          <w:bCs/>
        </w:rPr>
        <w:t>第三节 构建</w:t>
      </w:r>
      <w:r>
        <w:rPr>
          <w:b/>
          <w:bCs/>
        </w:rPr>
        <w:t>畅通</w:t>
      </w:r>
      <w:r>
        <w:rPr>
          <w:rFonts w:hint="eastAsia"/>
          <w:b/>
          <w:bCs/>
        </w:rPr>
        <w:t>的</w:t>
      </w:r>
      <w:r>
        <w:rPr>
          <w:b/>
          <w:bCs/>
        </w:rPr>
        <w:t>流通体系</w:t>
      </w:r>
    </w:p>
    <w:p>
      <w:pPr>
        <w:ind w:firstLine="640"/>
        <w:rPr>
          <w:rFonts w:eastAsia="黑体"/>
        </w:rPr>
      </w:pPr>
      <w:r>
        <w:rPr>
          <w:rFonts w:hint="eastAsia"/>
        </w:rPr>
        <w:t>依托高速公路、高速铁路、航空、水运等综合立体交通网，积极融入全国流通大通道体系。</w:t>
      </w:r>
      <w:r>
        <w:t>积极参与建设全国重要能矿资源走廊，进一步畅通产业循环、市场循环、经济社会循环，推动资源要素向实体经济聚集、政策措施向实体经济发力</w:t>
      </w:r>
      <w:r>
        <w:rPr>
          <w:rFonts w:hint="eastAsia"/>
        </w:rPr>
        <w:t>。</w:t>
      </w:r>
      <w:r>
        <w:t>着力提升</w:t>
      </w:r>
      <w:r>
        <w:rPr>
          <w:rFonts w:hint="eastAsia"/>
        </w:rPr>
        <w:t>双水、水城经开区、发耳等中心城镇</w:t>
      </w:r>
      <w:r>
        <w:t>流通</w:t>
      </w:r>
      <w:r>
        <w:rPr>
          <w:rFonts w:hint="eastAsia"/>
        </w:rPr>
        <w:t>服务</w:t>
      </w:r>
      <w:r>
        <w:t>功能</w:t>
      </w:r>
      <w:r>
        <w:rPr>
          <w:rFonts w:hint="eastAsia"/>
        </w:rPr>
        <w:t>，</w:t>
      </w:r>
      <w:r>
        <w:t>优化城乡流通网络布局，畅通农产品进城和工业品下乡的双向流通渠道</w:t>
      </w:r>
      <w:r>
        <w:rPr>
          <w:rFonts w:hint="eastAsia"/>
        </w:rPr>
        <w:t>。</w:t>
      </w:r>
      <w:r>
        <w:t>进一步拓宽优质农产品和工业品市外销售渠道，持续开拓黔中、滇中、成渝、粤港澳、长三角、京津冀等重点区域市场。充分利用信息</w:t>
      </w:r>
      <w:r>
        <w:rPr>
          <w:rFonts w:hint="eastAsia"/>
        </w:rPr>
        <w:t>技</w:t>
      </w:r>
      <w:r>
        <w:t>术和物联网技术推动物流与商流、资金流、信息流集成运作，</w:t>
      </w:r>
      <w:r>
        <w:rPr>
          <w:rFonts w:hint="eastAsia"/>
        </w:rPr>
        <w:t>不断</w:t>
      </w:r>
      <w:r>
        <w:t>提升流通效率。大力发展供应链金融，提升金融服务生产、流通与消费的能力。采用大数据、区块链信息技术手段，加快建立和完善产品追溯体系。</w:t>
      </w:r>
    </w:p>
    <w:p>
      <w:pPr>
        <w:spacing w:line="570" w:lineRule="exact"/>
        <w:ind w:firstLine="0" w:firstLineChars="0"/>
        <w:jc w:val="center"/>
      </w:pPr>
      <w:r>
        <w:rPr>
          <w:rFonts w:hint="eastAsia"/>
          <w:b/>
          <w:bCs/>
        </w:rPr>
        <w:t>第四节 积极参加国际国内产能合作</w:t>
      </w:r>
    </w:p>
    <w:p>
      <w:pPr>
        <w:ind w:firstLine="640"/>
      </w:pPr>
      <w:r>
        <w:rPr>
          <w:rFonts w:hint="eastAsia"/>
        </w:rPr>
        <w:t>立足水城优势产业，依托省市布局，紧抓一带一路机遇，实施特色优势农产品出口提升行动，有序扩大农产品出口规模，融入国际循环和全球生产网络。深化对辽宁大连等区域交流合作。放大“中国凉都·</w:t>
      </w:r>
      <w:r>
        <w:rPr>
          <w:rFonts w:hint="eastAsia"/>
          <w:lang w:eastAsia="zh-CN"/>
        </w:rPr>
        <w:t>康养水城</w:t>
      </w:r>
      <w:r>
        <w:rPr>
          <w:rFonts w:hint="eastAsia"/>
        </w:rPr>
        <w:t>”、全国森林旅游示范县、最佳全域旅游目的地等品牌优势，依托物流平台建设，加快构建城区、园区、景区为重点的“</w:t>
      </w:r>
      <w:r>
        <w:t>3+N”开放平台</w:t>
      </w:r>
      <w:r>
        <w:rPr>
          <w:rFonts w:hint="eastAsia"/>
        </w:rPr>
        <w:t>，</w:t>
      </w:r>
      <w:r>
        <w:t>强化“引进来”与“走出去”相结合，着力把外面的</w:t>
      </w:r>
      <w:r>
        <w:rPr>
          <w:rFonts w:hint="eastAsia"/>
        </w:rPr>
        <w:t>要素</w:t>
      </w:r>
      <w:r>
        <w:t>资源引进来、把水城区的优势特色卖出去，全面构建高端化开放型经济新格局。</w:t>
      </w:r>
      <w:r>
        <w:rPr>
          <w:rFonts w:hint="eastAsia"/>
        </w:rPr>
        <w:t>充分借助中科院、大连市及省直部门对口帮扶平台，在完善协作机制、引进产业项目、拉动投资消费等领域深化合作交流，实现借力发展。</w:t>
      </w:r>
    </w:p>
    <w:p>
      <w:pPr>
        <w:pStyle w:val="6"/>
        <w:spacing w:before="222"/>
      </w:pPr>
      <w:bookmarkStart w:id="96" w:name="_Toc63250083"/>
      <w:r>
        <w:rPr>
          <w:rFonts w:hint="eastAsia"/>
        </w:rPr>
        <w:t>第三十一章 全面扩大有效投资</w:t>
      </w:r>
      <w:bookmarkEnd w:id="96"/>
    </w:p>
    <w:p>
      <w:pPr>
        <w:ind w:firstLine="640"/>
      </w:pPr>
      <w:r>
        <w:rPr>
          <w:rFonts w:hint="eastAsia"/>
        </w:rPr>
        <w:t>发挥投资在稳增长、转方式、调结构、换动能上的关键作用，优化投资结构，拓展投资空间，积极提高新型基础设施建设投资、产业投资、民间投资比重，加快推进“两新一重”等重大工程项目建设，保持投资合理增长，稳步提升投资质量和效益。</w:t>
      </w:r>
    </w:p>
    <w:p>
      <w:pPr>
        <w:ind w:firstLine="0" w:firstLineChars="0"/>
        <w:jc w:val="center"/>
        <w:rPr>
          <w:b/>
          <w:bCs/>
        </w:rPr>
      </w:pPr>
      <w:r>
        <w:rPr>
          <w:rFonts w:hint="eastAsia"/>
          <w:b/>
          <w:bCs/>
        </w:rPr>
        <w:t>第一节 优化投资结构</w:t>
      </w:r>
    </w:p>
    <w:p>
      <w:pPr>
        <w:ind w:firstLine="640"/>
      </w:pPr>
      <w:r>
        <w:rPr>
          <w:rFonts w:hint="eastAsia"/>
        </w:rPr>
        <w:t>围绕“一带一路”、长江经济带、新一轮西部大开发等国家重大战略部署，聚焦关键领域和薄弱环节，持续加强对公路补断畅卡、国省道改造、“四好农村公路”等交通基础设施的投入，进一步加大对科技研发、山地特色产业板块、企业设备更新和技术改造、数字经济、乡村振兴等方面的投入。积极参与西部陆海新通道、国家大数据综合试验区、国家生态文明试验区、国家内陆开放型经济实验区等重大工程建设，推进珠江—长江“两江”上游生态屏障保护修复、公共卫生应急保障、防灾减灾、西电东送等一批强基础、增功能、利长远的重大项目建设。明确投资导向、优化投资评价体系，进一步加强对交通水利、生态环境、公共设施、基础产业、民生保障等领域投资项目的督促检查。“十四五”时期，工业投资占固定资产投资比重提高到</w:t>
      </w:r>
      <w:r>
        <w:t>30%以上。</w:t>
      </w:r>
    </w:p>
    <w:p>
      <w:pPr>
        <w:ind w:firstLine="0" w:firstLineChars="0"/>
        <w:jc w:val="center"/>
        <w:rPr>
          <w:b/>
          <w:bCs/>
        </w:rPr>
      </w:pPr>
      <w:r>
        <w:rPr>
          <w:rFonts w:hint="eastAsia"/>
          <w:b/>
          <w:bCs/>
        </w:rPr>
        <w:t>第二节 提高投资效益</w:t>
      </w:r>
    </w:p>
    <w:p>
      <w:pPr>
        <w:ind w:firstLine="640"/>
      </w:pPr>
      <w:r>
        <w:rPr>
          <w:rFonts w:hint="eastAsia"/>
        </w:rPr>
        <w:t>加强重点项目建设，放大重点项目带动效应。高标准建设投资项目库，健全推进和保障机制，形成梯次滚动发展格局。以北盘江旅游线、玉马线旅游线、可渡河流域为重点推进项目建设，不断完善旅游基础设施，丰富旅游业态，加大旅游投入力度。</w:t>
      </w:r>
      <w:r>
        <w:t>以“悠然山居”项目建设为龙头，谋划启动北盘江旅游开发建设</w:t>
      </w:r>
      <w:r>
        <w:rPr>
          <w:rFonts w:hint="eastAsia"/>
        </w:rPr>
        <w:t>。</w:t>
      </w:r>
    </w:p>
    <w:p>
      <w:pPr>
        <w:ind w:firstLine="640"/>
      </w:pPr>
      <w:r>
        <w:rPr>
          <w:rFonts w:hint="eastAsia"/>
        </w:rPr>
        <w:t>完善重大项目落地协调机制，大力推进强基础、补短板、利长远的重大项目建设。加强调度督促，及时掌握项目进展情况及资金到位情况，加强资金监管，确保中央预算内投资项目资金等各类资金及时拨付到位，为项目建设提供资金保障。针对增量配电、双元技改项目电价方面存在的体制问题，积极主动对接上级部门，争取跨省电力交易政策支持，进一步降低企业用电成本。加大金融机构对接力度，极力争取政策性银行、各金融机构对产业转型升级提供资金支持，加大对有融资需求的产业转型升级项目主体支持力度。</w:t>
      </w:r>
    </w:p>
    <w:p>
      <w:pPr>
        <w:ind w:firstLine="640"/>
      </w:pPr>
      <w:r>
        <w:rPr>
          <w:rFonts w:hint="eastAsia"/>
        </w:rPr>
        <w:t>加快补齐基础设施、公共卫生、民生保障、防灾减灾等领域短板。推动企业设备更新和技术改造，扩大新兴产业投资。推动资源要素从低质低效投资领域向高质高效投资领域流动，合理设定产业准入门槛，提高项目亩均投资强度和投入产出比。建立依据投资效益科学安排预算内投资的长效机制和国有投资项目效益保证制度，落实投资决策责任制，实施投资项目事后评价机制，建立健全企业投资风险约束机制，防止低水平重复建设和因项目同质化严重带来的恶性竞争。加强投资风险预警和防范，完善投资项目全过程管理机制。</w:t>
      </w:r>
    </w:p>
    <w:p>
      <w:pPr>
        <w:ind w:firstLine="0" w:firstLineChars="0"/>
        <w:jc w:val="center"/>
        <w:rPr>
          <w:b/>
          <w:bCs/>
        </w:rPr>
      </w:pPr>
      <w:r>
        <w:rPr>
          <w:rFonts w:hint="eastAsia"/>
          <w:b/>
          <w:bCs/>
        </w:rPr>
        <w:t>第三节 扩大投资主体</w:t>
      </w:r>
    </w:p>
    <w:p>
      <w:pPr>
        <w:ind w:firstLine="640"/>
      </w:pPr>
      <w:r>
        <w:rPr>
          <w:rFonts w:hint="eastAsia"/>
        </w:rPr>
        <w:t>深化投融资体制机制改革，发挥政府投资撬动作用，激发社会投资活力，形成市场主导的投资内生增长机制。强化企业投资的主体地位，放宽放活社会投资范围领域，释放民间投资潜力和创新力。鼓励社会资本参与农村产业发展、小城镇建设、智慧社区改造等领域投资。鼓励和吸引在外企业家投资家乡、建设家乡。加大引进战略投资者、对接资本市场、推进骨干员工持股等方面的试点力度。实施政务失信专项治理计划，着力构建“亲”“清”新型政商关系，促进在水城的浙商、湘商、渝商、川商、粤商等持续加大投资力度，扩大投资规模。积极对接国家和省重大战略布局，强化与央企合作，大力开展央企招商专项行动，争取央企提高在水城的投资比重。支持本地金融机构创新，支持实体经济模式，积极扩大投资性业务。规范发展政府与社会资本合作模式，加快拓展外资利用渠道，优化社会融资结构，让更多储蓄资源转化为有效投资，解决融资难融资贵问题。到</w:t>
      </w:r>
      <w:r>
        <w:t>2025年，民间投资占比达到</w:t>
      </w:r>
      <w:r>
        <w:rPr>
          <w:rFonts w:hint="eastAsia"/>
        </w:rPr>
        <w:t>60</w:t>
      </w:r>
      <w:r>
        <w:t>%以上。</w:t>
      </w:r>
    </w:p>
    <w:p>
      <w:pPr>
        <w:pStyle w:val="6"/>
        <w:spacing w:before="222"/>
      </w:pPr>
      <w:bookmarkStart w:id="97" w:name="_Toc63250084"/>
      <w:r>
        <w:rPr>
          <w:rFonts w:hint="eastAsia"/>
        </w:rPr>
        <w:t>第三十二章 全面促进消费升级</w:t>
      </w:r>
      <w:bookmarkEnd w:id="97"/>
    </w:p>
    <w:p>
      <w:pPr>
        <w:ind w:firstLine="640"/>
      </w:pPr>
      <w:r>
        <w:rPr>
          <w:rFonts w:hint="eastAsia"/>
        </w:rPr>
        <w:t>顺应消费升级趋势，提升传统消费，培育新型消费，适当增加公共消费，以消费升级引领供给创新、以供给提升创造消费新增长点，不断增强消费对经济发展的基础性作用。</w:t>
      </w:r>
    </w:p>
    <w:p>
      <w:pPr>
        <w:spacing w:line="570" w:lineRule="exact"/>
        <w:ind w:firstLine="0" w:firstLineChars="0"/>
        <w:jc w:val="center"/>
        <w:rPr>
          <w:b/>
          <w:bCs/>
        </w:rPr>
      </w:pPr>
      <w:r>
        <w:rPr>
          <w:rFonts w:hint="eastAsia"/>
          <w:b/>
          <w:bCs/>
        </w:rPr>
        <w:t>第一节 着力提升传统消费</w:t>
      </w:r>
    </w:p>
    <w:p>
      <w:pPr>
        <w:ind w:firstLine="640"/>
      </w:pPr>
      <w:r>
        <w:rPr>
          <w:rFonts w:hint="eastAsia"/>
        </w:rPr>
        <w:t>优化市场供给，开拓城乡消费市场，持续扩大消费需求，促进汽车、家电和电子产品等传统消费品更新换代，推动居民实物消费不断升级。完善促进汽车消费政策，加快培育汽车销售示范市场、二手车交易示范市场。持续开展公共机构绿色消费行动，积极扩大绿色健康节能环保消费，倡导流通环节减量包装、使用可降解包装等绿色消费方式。加强城乡消费网络布局建设，加强消费物流基础设施、新型旅游消费设施等消费基础设施建设。依据城市人口聚集和商街布局现状，建设一批高品质的重点生产生活消费区、特色休闲饮食消费区、民族特色产品消费区，增加优质商品和服务供给。构建“智能</w:t>
      </w:r>
      <w:r>
        <w:t>+”消费生态体系，建设智慧商店、智慧社区、智慧商圈，鼓励发展“线上经济”“宅经济”等新兴业态。</w:t>
      </w:r>
      <w:r>
        <w:rPr>
          <w:rFonts w:hint="eastAsia"/>
        </w:rPr>
        <w:t>打造一批布局合理、管理规范、各具特色、功能完善的城市夜晚地标，稳步推进大型商场商圈、一站式购物体验中心等建设</w:t>
      </w:r>
      <w:r>
        <w:t>。加快建设24小时</w:t>
      </w:r>
      <w:r>
        <w:rPr>
          <w:rFonts w:hint="eastAsia"/>
        </w:rPr>
        <w:t>便利店、社区菜店、社会餐饮、家政服务、美容美发、药店等</w:t>
      </w:r>
      <w:r>
        <w:t>社区服务商业设施，增强社区便民商业服务能力，提升消费便利度。</w:t>
      </w:r>
      <w:r>
        <w:rPr>
          <w:rFonts w:hint="eastAsia"/>
        </w:rPr>
        <w:t>进一步拓宽农村消费市场，引导优质商品和服务向农村延伸。大力发展电子商务业，充分运用物联网、“互联网</w:t>
      </w:r>
      <w:r>
        <w:t>+”技术，构建农产品进城和工业品下乡双向流通效率，扩大电商进农村覆盖面，重点推进猕猴桃、茶叶、荞麦、农民画、少数民族服饰等产品电商销售发展。</w:t>
      </w:r>
    </w:p>
    <w:p>
      <w:pPr>
        <w:spacing w:line="570" w:lineRule="exact"/>
        <w:ind w:firstLine="0" w:firstLineChars="0"/>
        <w:jc w:val="center"/>
        <w:rPr>
          <w:b/>
          <w:bCs/>
        </w:rPr>
      </w:pPr>
      <w:r>
        <w:rPr>
          <w:rFonts w:hint="eastAsia"/>
          <w:b/>
          <w:bCs/>
        </w:rPr>
        <w:t>第二节 大力培育新型消费</w:t>
      </w:r>
    </w:p>
    <w:p>
      <w:pPr>
        <w:ind w:firstLine="640"/>
      </w:pPr>
      <w:r>
        <w:rPr>
          <w:rFonts w:hint="eastAsia"/>
        </w:rPr>
        <w:t>大力支持消费产品创新，加快推广智能汽车、智能家居、智能穿戴设备、超高清视频、虚拟现实等绿色智能产品消费。积极发展多形态、多元化旅游商品，打造具有地方文化特色的旅游购物街区和场所。积极培育网络消费、智能消费、定制消费、体验消费等新模式。扩大信息消费，加快推动线上线下消费有机融合，鼓励发展“线上经济”“宅经济”等新业态，加快构建“智能</w:t>
      </w:r>
      <w:r>
        <w:t>+”消费</w:t>
      </w:r>
      <w:r>
        <w:rPr>
          <w:rFonts w:hint="eastAsia"/>
        </w:rPr>
        <w:t>生态体系，建设智慧商店、智慧街区、智慧商圈。发展连锁经营和小店经营模式。推广社区快递自提点和智能提货柜，发展无接触交易服务。</w:t>
      </w:r>
    </w:p>
    <w:p>
      <w:pPr>
        <w:spacing w:line="570" w:lineRule="exact"/>
        <w:ind w:firstLine="0" w:firstLineChars="0"/>
        <w:jc w:val="center"/>
        <w:rPr>
          <w:b/>
          <w:bCs/>
        </w:rPr>
      </w:pPr>
      <w:r>
        <w:rPr>
          <w:rFonts w:hint="eastAsia"/>
          <w:b/>
          <w:bCs/>
        </w:rPr>
        <w:t>第三节 营造良好消费环境</w:t>
      </w:r>
    </w:p>
    <w:p>
      <w:pPr>
        <w:ind w:firstLine="640"/>
      </w:pPr>
      <w:r>
        <w:rPr>
          <w:rFonts w:hint="eastAsia"/>
        </w:rPr>
        <w:t>落实带薪休假制度，扩大节假日消费。大力营造安全放心消费环境。落实国家鼓励消费的财税信贷政策、信用消费政策。强化市场秩序监管，建立健全以编码、二维码管理为手段的消费追溯体系，加强线上线下一体化监管，建立健全集风险监测、网上抽查、源头追溯、属地查处、信用管理于一体的电子商务产品质量监督管理制度。推进消费领域信用体系建设，建立信用风险分级分类监管机制，完善个人信息保护制度和消费后评价制度，督促经营者诚信经营。放宽服务消费领域市场准入，维护公平开放竞争市场环境。加大消费者的权益保护力度，畅通消费者维权渠道，加强</w:t>
      </w:r>
      <w:r>
        <w:t>12315行政执法体系和消费者维权信息化建设，充分发挥媒体监</w:t>
      </w:r>
      <w:r>
        <w:rPr>
          <w:rFonts w:hint="eastAsia"/>
        </w:rPr>
        <w:t>督功能，加大对侵害消费者合法权益违法行为的曝光力度。严厉打击各类制售伪劣、强买强卖等违法犯罪活动，全力营造让群众放心、安心的消费大环境。</w:t>
      </w:r>
    </w:p>
    <w:p>
      <w:pPr>
        <w:pStyle w:val="6"/>
        <w:spacing w:before="222"/>
      </w:pPr>
      <w:bookmarkStart w:id="98" w:name="_Toc63250085"/>
      <w:r>
        <w:rPr>
          <w:rFonts w:hint="eastAsia"/>
        </w:rPr>
        <w:t>第三十三章 全面拓展合作空间</w:t>
      </w:r>
      <w:bookmarkEnd w:id="98"/>
    </w:p>
    <w:p>
      <w:pPr>
        <w:ind w:firstLine="640"/>
      </w:pPr>
      <w:r>
        <w:rPr>
          <w:rFonts w:hint="eastAsia"/>
        </w:rPr>
        <w:t>坚持实施更大范围、更宽领域、更深层次对外开放，全力融入国家区域发展战略，积极参与区域经济发展，不断将水城经济社会发展融入国际国内发展环境中。</w:t>
      </w:r>
    </w:p>
    <w:p>
      <w:pPr>
        <w:spacing w:line="570" w:lineRule="exact"/>
        <w:ind w:firstLine="0" w:firstLineChars="0"/>
        <w:jc w:val="center"/>
        <w:rPr>
          <w:b/>
          <w:bCs/>
        </w:rPr>
      </w:pPr>
      <w:r>
        <w:rPr>
          <w:rFonts w:hint="eastAsia"/>
          <w:b/>
          <w:bCs/>
        </w:rPr>
        <w:t>第一节 全力融入国家区域发展战略</w:t>
      </w:r>
    </w:p>
    <w:p>
      <w:pPr>
        <w:ind w:firstLine="640"/>
      </w:pPr>
      <w:r>
        <w:rPr>
          <w:rFonts w:hint="eastAsia"/>
        </w:rPr>
        <w:t>落实新时代西部大开发战略，全面提升对外开放水平。加快融入国家重大区域战略，深度参与实施“一带一路”建设三年行动计划和推动企业沿“一带一路”方向走出去行动计划，积极参与“一带一路”、长江经济带和粤港澳大湾区建设，加强与泛珠三角、成渝地区双城经济圈等协作；依托中国—中南半岛区域、中印缅孟两个经济走廊，积极推动与东南亚、南亚、东盟的国际合作，主动参与中国—东盟信息港建设，深度融入绿色丝绸之路建设。建立完善对外合作重大项目库、重大企业库、重要产品库，强力推进产业大招商。加大上下游产业引进力度，推动产业链建链补链强链延链，加快融入国际国内产业链、供应链、价值链分工体系，打造产业转移示范区。</w:t>
      </w:r>
    </w:p>
    <w:p>
      <w:pPr>
        <w:spacing w:line="570" w:lineRule="exact"/>
        <w:ind w:firstLine="0" w:firstLineChars="0"/>
        <w:jc w:val="center"/>
        <w:rPr>
          <w:b/>
          <w:bCs/>
        </w:rPr>
      </w:pPr>
      <w:r>
        <w:rPr>
          <w:rFonts w:hint="eastAsia"/>
          <w:b/>
          <w:bCs/>
        </w:rPr>
        <w:t>第二节 推动与周边区域协同发展</w:t>
      </w:r>
    </w:p>
    <w:p>
      <w:pPr>
        <w:ind w:firstLine="640"/>
      </w:pPr>
      <w:r>
        <w:rPr>
          <w:rFonts w:hint="eastAsia"/>
        </w:rPr>
        <w:t>立足区位优势，借力政策东风，全面推进与毕节、黔西南、曲靖、昭通等周边地区以及成渝、滇中、北部湾等区域在能源、交通、商贸、物流、旅游等方面开展深层次的合作，加大上下游产业引进力度，推动补链强链延链，全方位拓展发展新空间。</w:t>
      </w:r>
    </w:p>
    <w:p>
      <w:pPr>
        <w:pStyle w:val="6"/>
        <w:spacing w:before="222"/>
      </w:pPr>
      <w:bookmarkStart w:id="99" w:name="_Toc63250086"/>
      <w:r>
        <w:rPr>
          <w:rFonts w:hint="eastAsia"/>
        </w:rPr>
        <w:t>第三十四章 全面打造开放平台</w:t>
      </w:r>
      <w:bookmarkEnd w:id="99"/>
    </w:p>
    <w:p>
      <w:pPr>
        <w:ind w:firstLine="640"/>
      </w:pPr>
      <w:r>
        <w:rPr>
          <w:rFonts w:hint="eastAsia"/>
        </w:rPr>
        <w:t>全面完善提升开放平台功能，着力提升内外贸质量和效益，努力开创开放型经济发展新局面。</w:t>
      </w:r>
    </w:p>
    <w:p>
      <w:pPr>
        <w:spacing w:line="570" w:lineRule="exact"/>
        <w:ind w:firstLine="0" w:firstLineChars="0"/>
        <w:jc w:val="center"/>
        <w:rPr>
          <w:b/>
          <w:bCs/>
        </w:rPr>
      </w:pPr>
      <w:r>
        <w:rPr>
          <w:rFonts w:hint="eastAsia"/>
          <w:b/>
          <w:bCs/>
        </w:rPr>
        <w:t>第一节 推进开放平台建设</w:t>
      </w:r>
    </w:p>
    <w:p>
      <w:pPr>
        <w:ind w:firstLine="640"/>
      </w:pPr>
      <w:r>
        <w:rPr>
          <w:rFonts w:hint="eastAsia"/>
        </w:rPr>
        <w:t>落实外商投资准入前国民待遇加负面清单管理制度，推动制造业、服务业、农业扩大开放。充分发挥东部、中部、南部、杨梅园区的引领带动，全面拓展产业合作新空间。积极探索产业转移合作新模式，利用水城经开区区位优势，加快实施公铁联运物流园、水城经开区“逆向飞地经济”新材料产业园项目、水城区刺梨出口基地等重点物流园区平台建设，创新园区建设模式和管理运营机制。进一步加强与大连的全方位对接与合作，推进水城大连合作共建足球运动教育基地建设，依托大连北黄海经济区建设的贵州水城“飞地经济”新材料产业园项目，推进优势产业全面逆向发展，共同打造东西部扶贫协作实体经济制造高地。</w:t>
      </w:r>
    </w:p>
    <w:p>
      <w:pPr>
        <w:spacing w:line="570" w:lineRule="exact"/>
        <w:ind w:firstLine="0" w:firstLineChars="0"/>
        <w:jc w:val="center"/>
        <w:rPr>
          <w:b/>
          <w:bCs/>
        </w:rPr>
      </w:pPr>
      <w:r>
        <w:rPr>
          <w:rFonts w:hint="eastAsia"/>
          <w:b/>
          <w:bCs/>
        </w:rPr>
        <w:t>第二节 打造开放型经济</w:t>
      </w:r>
    </w:p>
    <w:p>
      <w:pPr>
        <w:spacing w:after="120"/>
        <w:ind w:firstLine="640"/>
      </w:pPr>
      <w:r>
        <w:rPr>
          <w:rFonts w:hint="eastAsia"/>
        </w:rPr>
        <w:t>深度参与实施“一带一路”建设三年行动计划和推动企业沿着“一带一路”方向走出去行动计划。充分利用水城煤电资源优势和要素成本优势，积极引导促成中东部地区产业与水城产业对接配套，探索产业转移承接合作新模式，共建“飞地”产业园区，将“东部企业</w:t>
      </w:r>
      <w:r>
        <w:t>+</w:t>
      </w:r>
      <w:r>
        <w:rPr>
          <w:rFonts w:hint="eastAsia"/>
        </w:rPr>
        <w:t>水城</w:t>
      </w:r>
      <w:r>
        <w:t>资源”</w:t>
      </w:r>
      <w:r>
        <w:rPr>
          <w:rFonts w:hint="eastAsia"/>
        </w:rPr>
        <w:t>、</w:t>
      </w:r>
      <w:r>
        <w:t>“东部市场+</w:t>
      </w:r>
      <w:r>
        <w:rPr>
          <w:rFonts w:hint="eastAsia"/>
        </w:rPr>
        <w:t>水城</w:t>
      </w:r>
      <w:r>
        <w:t>产品”</w:t>
      </w:r>
      <w:r>
        <w:rPr>
          <w:rFonts w:hint="eastAsia"/>
        </w:rPr>
        <w:t>、</w:t>
      </w:r>
      <w:r>
        <w:t>“东部总部+</w:t>
      </w:r>
      <w:r>
        <w:rPr>
          <w:rFonts w:hint="eastAsia"/>
        </w:rPr>
        <w:t>水城</w:t>
      </w:r>
      <w:r>
        <w:t>基地”</w:t>
      </w:r>
      <w:r>
        <w:rPr>
          <w:rFonts w:hint="eastAsia"/>
        </w:rPr>
        <w:t>、</w:t>
      </w:r>
      <w:r>
        <w:t>“东部研发+</w:t>
      </w:r>
      <w:r>
        <w:rPr>
          <w:rFonts w:hint="eastAsia"/>
        </w:rPr>
        <w:t>水城</w:t>
      </w:r>
      <w:r>
        <w:t>制造”作为产业招商的重点方向，推进产业组团式、链条式、集群式承接转移，打造产业转移承接示范区。引进煤炭行业科技企业参与推进</w:t>
      </w:r>
      <w:r>
        <w:rPr>
          <w:rFonts w:hint="eastAsia"/>
        </w:rPr>
        <w:t>水城</w:t>
      </w:r>
      <w:r>
        <w:t>煤化工产业发展</w:t>
      </w:r>
      <w:r>
        <w:rPr>
          <w:rFonts w:hint="eastAsia"/>
        </w:rPr>
        <w:t>。扩大山地特色农产品出口，重点推动山地特色农产品及衍生产品供货企业扩大出口规模。积极参与酒博会、绿博会、数博会等重大国际开放活动，大力举办水城红心猕猴桃丰收节、茶叶丰收节等活动并推动上升到省级层面，形成更大范围、更宽领域、更深层次对外开放。</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专栏33 开放平台建设重点项目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89" w:type="dxa"/>
          </w:tcPr>
          <w:p>
            <w:pPr>
              <w:spacing w:before="60" w:line="280" w:lineRule="exact"/>
              <w:ind w:firstLine="420"/>
              <w:rPr>
                <w:rFonts w:ascii="楷体_GB2312" w:eastAsia="楷体_GB2312"/>
                <w:sz w:val="21"/>
                <w:szCs w:val="21"/>
              </w:rPr>
            </w:pPr>
            <w:r>
              <w:rPr>
                <w:rFonts w:hint="eastAsia" w:ascii="楷体_GB2312" w:eastAsia="楷体_GB2312"/>
                <w:sz w:val="21"/>
                <w:szCs w:val="21"/>
              </w:rPr>
              <w:t>推进水城-大连“飞地经济”新材料产业园、水城特色农产品出口基地、水城大连合作共建足球运动教育基地等项目建设。</w:t>
            </w:r>
          </w:p>
        </w:tc>
      </w:tr>
    </w:tbl>
    <w:p>
      <w:pPr>
        <w:pStyle w:val="5"/>
      </w:pPr>
      <w:r>
        <w:br w:type="page"/>
      </w:r>
    </w:p>
    <w:p>
      <w:pPr>
        <w:pStyle w:val="5"/>
        <w:rPr>
          <w:sz w:val="34"/>
          <w:szCs w:val="34"/>
        </w:rPr>
      </w:pPr>
      <w:bookmarkStart w:id="100" w:name="_Toc63250087"/>
      <w:r>
        <w:rPr>
          <w:rFonts w:hint="eastAsia"/>
          <w:sz w:val="34"/>
          <w:szCs w:val="34"/>
        </w:rPr>
        <w:t>第十篇 全面构建现代化基础设施运行体系，高质量提升发展支撑能力</w:t>
      </w:r>
      <w:bookmarkEnd w:id="100"/>
    </w:p>
    <w:p>
      <w:pPr>
        <w:ind w:firstLine="640"/>
      </w:pPr>
      <w:r>
        <w:rPr>
          <w:rFonts w:hint="eastAsia"/>
        </w:rPr>
        <w:t>坚持基础设施先行，深入实施“六网会战”，统筹存量与增量、传统与新型基础设施发展，打造集约高效、经济适用、智能绿色、安全可靠的现代化基础设施体系，全方位支撑</w:t>
      </w:r>
      <w:r>
        <w:rPr>
          <w:rFonts w:hint="eastAsia"/>
          <w:lang w:eastAsia="zh-CN"/>
        </w:rPr>
        <w:t>康养水城</w:t>
      </w:r>
      <w:r>
        <w:rPr>
          <w:rFonts w:hint="eastAsia"/>
        </w:rPr>
        <w:t>高质量发展。</w:t>
      </w:r>
    </w:p>
    <w:p>
      <w:pPr>
        <w:pStyle w:val="6"/>
        <w:spacing w:before="222"/>
      </w:pPr>
      <w:bookmarkStart w:id="101" w:name="_Toc63250088"/>
      <w:r>
        <w:rPr>
          <w:rFonts w:hint="eastAsia"/>
        </w:rPr>
        <w:t>第三十五章 提升水资源优化调配供给能力</w:t>
      </w:r>
      <w:bookmarkEnd w:id="101"/>
    </w:p>
    <w:p>
      <w:pPr>
        <w:ind w:firstLine="640"/>
      </w:pPr>
      <w:r>
        <w:rPr>
          <w:rFonts w:hint="eastAsia"/>
        </w:rPr>
        <w:t>坚持“水利工程补短板，水利行业强监管”治水总基调，推动水利行业转型发展，加快解决区域性水资源短缺和工程性缺水，强化水安全，增强水保障，实现城乡、产业和生态供水有保障，乡乡有稳定水源。</w:t>
      </w:r>
    </w:p>
    <w:p>
      <w:pPr>
        <w:spacing w:line="570" w:lineRule="exact"/>
        <w:ind w:firstLine="0" w:firstLineChars="0"/>
        <w:jc w:val="center"/>
        <w:rPr>
          <w:b/>
          <w:bCs/>
        </w:rPr>
      </w:pPr>
      <w:r>
        <w:rPr>
          <w:rFonts w:hint="eastAsia"/>
          <w:b/>
          <w:bCs/>
        </w:rPr>
        <w:t>第一节 加强骨干水源建设</w:t>
      </w:r>
    </w:p>
    <w:p>
      <w:pPr>
        <w:ind w:firstLine="640"/>
      </w:pPr>
      <w:r>
        <w:rPr>
          <w:rFonts w:hint="eastAsia"/>
        </w:rPr>
        <w:t>抢抓水利“百库大会战”机遇，加大骨干水源工程建设，推动梁家沟、赵家河、夹岩、兴富等重点水库及配套管网建设，积极实施水库连通工程。</w:t>
      </w:r>
      <w:r>
        <w:t>推进水库建设与农村产业、城镇布局相结合，推进城乡一体化、区域规模化集中供水工程和人口分散区域重点小型标准化供水设施建设，加强城市应急备用水源建设。推进跨区域水网建设，因地制宜实施引提水工程和地下水开发工程。</w:t>
      </w:r>
      <w:r>
        <w:rPr>
          <w:rFonts w:hint="eastAsia"/>
        </w:rPr>
        <w:t>全面普及农村自来水，推进城乡供水一体化的完善补缺和水质保护。着力实现“乡乡有稳定水源”，全面解决工程性缺水问题，加强集中式饮用水源地保护，全面提升饮水安全和保障能力。规划建设经济适用、水源可靠的小山塘，推进人口分散区域重点小型标准化供水设施建设。</w:t>
      </w:r>
      <w:r>
        <w:t>到2025年，</w:t>
      </w:r>
      <w:r>
        <w:rPr>
          <w:rFonts w:hint="eastAsia"/>
        </w:rPr>
        <w:t>全区</w:t>
      </w:r>
      <w:r>
        <w:t>新增工程设计供水能力0.6648亿立方米。</w:t>
      </w:r>
    </w:p>
    <w:p>
      <w:pPr>
        <w:spacing w:line="570" w:lineRule="exact"/>
        <w:ind w:firstLine="0" w:firstLineChars="0"/>
        <w:jc w:val="center"/>
        <w:rPr>
          <w:b/>
          <w:bCs/>
        </w:rPr>
      </w:pPr>
      <w:r>
        <w:rPr>
          <w:rFonts w:hint="eastAsia"/>
          <w:b/>
          <w:bCs/>
        </w:rPr>
        <w:t>第二节 完善水资源调配监控体系</w:t>
      </w:r>
    </w:p>
    <w:p>
      <w:pPr>
        <w:ind w:firstLine="640"/>
      </w:pPr>
      <w:r>
        <w:rPr>
          <w:rFonts w:hint="eastAsia"/>
        </w:rPr>
        <w:t>加强水利基础设施智能化建设，实现水利设施运行管理由粗放型向智能化转变，推进农村供水智能化管理，逐步建立江河湖库水网监控体系。加强农田水利设施建设，大力发展小型水源工程，推进猕猴桃、茶园等产业核心区灌溉工程建设。系统规划设计城区和工业园区用水输配网络，着力补齐工业园区缺水的短板。加强水资源统一管理，保障饮水安全水质达标，禁止其他企业、单位和个人私自搭建小水源或开采地下水等方式进行供水或经营。继续实施农村安全饮水巩固提升工程。系统规划城乡用水输配网络，探索创新水资源调配供给模式，提升水资源优化配置和水保障能力。充分运用地理信息系统和水利大数据等技术，建设智慧水务体系，逐步健全水库、监测断面等各级各类监测监控站点，提高监测预警的完备性和全面性，逐步实现水资源调配、管网运行调度、生态流量控制的智能化和自动化，形成科学的水资源监测预警和调控体系。到</w:t>
      </w:r>
      <w:r>
        <w:t>2025年，农村集中供水率达到100%，逐步完善供水水质检测体系，水质合格率达100%。</w:t>
      </w:r>
    </w:p>
    <w:p>
      <w:pPr>
        <w:spacing w:line="570" w:lineRule="exact"/>
        <w:ind w:firstLine="0" w:firstLineChars="0"/>
        <w:jc w:val="center"/>
        <w:rPr>
          <w:b/>
          <w:bCs/>
        </w:rPr>
      </w:pPr>
      <w:r>
        <w:rPr>
          <w:rFonts w:hint="eastAsia"/>
          <w:b/>
          <w:bCs/>
        </w:rPr>
        <w:t>第三节 提升防洪减灾能力</w:t>
      </w:r>
    </w:p>
    <w:p>
      <w:pPr>
        <w:spacing w:after="120"/>
        <w:ind w:firstLine="640"/>
      </w:pPr>
      <w:r>
        <w:rPr>
          <w:rFonts w:hint="eastAsia"/>
        </w:rPr>
        <w:t>全面提高区域防洪减灾能力，推进“蓄、护、疏、调”协同，基本建成全区防洪减灾体系。深入推进“河长制”工作，实施中小河流综合治理工程，提升山青水绿的流域生态环境。推进通仲河、万全河、月亮河、</w:t>
      </w:r>
      <w:bookmarkStart w:id="102" w:name="_Hlk63157827"/>
      <w:r>
        <w:rPr>
          <w:rFonts w:hint="eastAsia"/>
        </w:rPr>
        <w:t>巴朗河</w:t>
      </w:r>
      <w:bookmarkEnd w:id="102"/>
      <w:r>
        <w:rPr>
          <w:rFonts w:hint="eastAsia"/>
        </w:rPr>
        <w:t>、跳蹬河、水城河（八中</w:t>
      </w:r>
      <w:r>
        <w:t>-金竹林段）、老鹰山堰湖流域等河流沿线重点城镇堤防工程建设及河道综合治理。强化防汛抗旱能力建设，加强山洪防治、排涝综合治理、小流域治理工程建设，增强城镇防洪排涝能力。</w:t>
      </w:r>
      <w:r>
        <w:rPr>
          <w:rFonts w:hint="eastAsia"/>
        </w:rPr>
        <w:t>实施水土保持、农村水系综合整治、山洪灾害防治、病险水库除险加固等工程，修复河流生态，健全河湖健康保障体系，提高水旱灾害防御能力。加快城镇防洪排涝体系建设，完善城镇防洪排涝监测预警系统，提高城市排涝应急能力。实施水土保持工程，开展重点河流和重点山洪沟治理、农村水系综合治理，提高城镇、人口集中的乡村、自然村落和集中连片农田的防洪标准，健全河湖健康保障体系。继续加强病险水库和山塘除险加固工程建设，对部分规模减小或者功能萎缩，除险加固技术上不可行、经济上不合理的水库和山塘，按照有关规定降低等级或报废。</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34</w:t>
            </w:r>
            <w:r>
              <w:rPr>
                <w:rFonts w:hint="eastAsia" w:ascii="楷体" w:hAnsi="楷体" w:eastAsia="楷体"/>
                <w:sz w:val="26"/>
                <w:szCs w:val="26"/>
              </w:rPr>
              <w:t xml:space="preserve"> 水资源优化重点项目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水库建设</w:t>
            </w:r>
          </w:p>
          <w:p>
            <w:pPr>
              <w:spacing w:before="60" w:line="260" w:lineRule="exact"/>
              <w:ind w:firstLine="420"/>
              <w:rPr>
                <w:rFonts w:ascii="楷体" w:hAnsi="楷体" w:eastAsia="楷体"/>
                <w:sz w:val="26"/>
                <w:szCs w:val="26"/>
              </w:rPr>
            </w:pPr>
            <w:r>
              <w:rPr>
                <w:rFonts w:hint="eastAsia" w:ascii="楷体_GB2312" w:eastAsia="楷体_GB2312"/>
                <w:sz w:val="21"/>
                <w:szCs w:val="21"/>
              </w:rPr>
              <w:t>建成谢家水库（总库容357.34万立方米）、方家沟水库（总库容95.1万立方米）、河湾水库（总库容231万立方米）；开工建设赵家河水库、梁家沟水库；推进花地河水库、陡箐夹岩水库、陡箐兴富水库、杨梅官寨水库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农业节水</w:t>
            </w:r>
          </w:p>
          <w:p>
            <w:pPr>
              <w:spacing w:line="260" w:lineRule="exact"/>
              <w:ind w:firstLine="420"/>
              <w:rPr>
                <w:rFonts w:ascii="楷体" w:hAnsi="楷体" w:eastAsia="楷体"/>
                <w:sz w:val="26"/>
                <w:szCs w:val="26"/>
              </w:rPr>
            </w:pPr>
            <w:r>
              <w:rPr>
                <w:rFonts w:hint="eastAsia" w:ascii="楷体_GB2312" w:eastAsia="楷体_GB2312"/>
                <w:sz w:val="21"/>
                <w:szCs w:val="21"/>
              </w:rPr>
              <w:t>建成米箩中型灌区续建配套与节水改造项目；重点推进龙场、顺场、发耳中型灌区续建配套与节水改造项目。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河道治理</w:t>
            </w:r>
          </w:p>
          <w:p>
            <w:pPr>
              <w:spacing w:line="260" w:lineRule="exact"/>
              <w:ind w:firstLine="420"/>
              <w:rPr>
                <w:rFonts w:ascii="楷体" w:hAnsi="楷体" w:eastAsia="楷体"/>
                <w:sz w:val="26"/>
                <w:szCs w:val="26"/>
              </w:rPr>
            </w:pPr>
            <w:r>
              <w:rPr>
                <w:rFonts w:hint="eastAsia" w:ascii="楷体_GB2312" w:eastAsia="楷体_GB2312"/>
                <w:sz w:val="21"/>
                <w:szCs w:val="21"/>
              </w:rPr>
              <w:t>重点推进水城河（八中—金竹林段）、通仲河、月亮河、巴朗河、万全河、跳蹬河、发耳河河道治理建设。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城乡供水一体化</w:t>
            </w:r>
          </w:p>
          <w:p>
            <w:pPr>
              <w:spacing w:line="260" w:lineRule="exact"/>
              <w:ind w:firstLine="420"/>
              <w:rPr>
                <w:rFonts w:ascii="楷体" w:hAnsi="楷体" w:eastAsia="楷体"/>
                <w:sz w:val="26"/>
                <w:szCs w:val="26"/>
              </w:rPr>
            </w:pPr>
            <w:r>
              <w:rPr>
                <w:rFonts w:hint="eastAsia" w:ascii="楷体_GB2312" w:eastAsia="楷体_GB2312"/>
                <w:sz w:val="21"/>
                <w:szCs w:val="21"/>
              </w:rPr>
              <w:t>重点推进水城城乡供水一体化项目、野玉海国家级旅游度假区水厂等供水设施升级改造。重点实施水城经开区供水管网提升改造工程、水城经开区老鹰山供水工程、水城城镇智能化供水工程、观音岩水库、赵家河水库等水库及水城经开区水系连通工程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农村供水保障工程</w:t>
            </w:r>
          </w:p>
          <w:p>
            <w:pPr>
              <w:spacing w:line="260" w:lineRule="exact"/>
              <w:ind w:firstLine="420"/>
              <w:rPr>
                <w:rFonts w:ascii="楷体_GB2312" w:eastAsia="楷体_GB2312"/>
                <w:b/>
                <w:bCs/>
                <w:sz w:val="21"/>
                <w:szCs w:val="21"/>
              </w:rPr>
            </w:pPr>
            <w:r>
              <w:rPr>
                <w:rFonts w:hint="eastAsia" w:ascii="楷体_GB2312" w:eastAsia="楷体_GB2312"/>
                <w:sz w:val="21"/>
                <w:szCs w:val="21"/>
              </w:rPr>
              <w:t>重点实施全区农村供水管网提升改造、农村供水水质提升工程项目、农村千人以上饮用水水源地环境综合整治。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89" w:type="dxa"/>
          </w:tcPr>
          <w:p>
            <w:pPr>
              <w:spacing w:before="60" w:line="26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防洪减灾工程</w:t>
            </w:r>
          </w:p>
          <w:p>
            <w:pPr>
              <w:spacing w:after="60" w:line="260" w:lineRule="exact"/>
              <w:ind w:firstLine="420"/>
              <w:rPr>
                <w:sz w:val="28"/>
                <w:szCs w:val="28"/>
              </w:rPr>
            </w:pPr>
            <w:r>
              <w:rPr>
                <w:rFonts w:hint="eastAsia" w:ascii="楷体_GB2312" w:eastAsia="楷体_GB2312"/>
                <w:sz w:val="21"/>
                <w:szCs w:val="21"/>
              </w:rPr>
              <w:t>重点推进山洪沟治理工程和水旱灾害监测预警预报系统建设。</w:t>
            </w:r>
          </w:p>
        </w:tc>
      </w:tr>
    </w:tbl>
    <w:p>
      <w:pPr>
        <w:pStyle w:val="6"/>
        <w:spacing w:before="222"/>
      </w:pPr>
      <w:bookmarkStart w:id="103" w:name="_Toc63250089"/>
      <w:r>
        <w:rPr>
          <w:rFonts w:hint="eastAsia"/>
        </w:rPr>
        <w:t>第三十六章 构建现代综合交通运输体系</w:t>
      </w:r>
      <w:bookmarkEnd w:id="103"/>
    </w:p>
    <w:p>
      <w:pPr>
        <w:ind w:firstLine="640"/>
      </w:pPr>
      <w:r>
        <w:rPr>
          <w:rFonts w:hint="eastAsia"/>
        </w:rPr>
        <w:t>抢抓省交通强国建设试点机遇，发展智慧交通，统筹铁路、公路、水运、民航等基础设施规划建设，形成多种交通方式有效衔接、网络结构完善、枢纽站点便捷、运输管理高效、出行方式环保的现代综合交通运输体。</w:t>
      </w:r>
    </w:p>
    <w:p>
      <w:pPr>
        <w:spacing w:line="570" w:lineRule="exact"/>
        <w:ind w:firstLine="0" w:firstLineChars="0"/>
        <w:jc w:val="center"/>
        <w:rPr>
          <w:b/>
          <w:bCs/>
        </w:rPr>
      </w:pPr>
      <w:r>
        <w:rPr>
          <w:rFonts w:hint="eastAsia"/>
          <w:b/>
          <w:bCs/>
        </w:rPr>
        <w:t>第一节 完善铁路运输网</w:t>
      </w:r>
    </w:p>
    <w:p>
      <w:pPr>
        <w:ind w:firstLine="640"/>
      </w:pPr>
      <w:r>
        <w:rPr>
          <w:rFonts w:hint="eastAsia"/>
        </w:rPr>
        <w:t>充分发挥重大工程的牵引作用和带动效应，做好六盘水—威宁—昭通高速铁路、水城—盘州高速铁路、毕节—水城—兴义高速铁路建设的保障工作。进一步完善六盘水东站枢纽功能，充分整合站场、配套商业以及物流设施，充分发挥六盘水东站的带动作用。协同推进六盘水市轨道交通建设。</w:t>
      </w:r>
    </w:p>
    <w:p>
      <w:pPr>
        <w:spacing w:line="570" w:lineRule="exact"/>
        <w:ind w:firstLine="0" w:firstLineChars="0"/>
        <w:jc w:val="center"/>
        <w:rPr>
          <w:b/>
          <w:bCs/>
        </w:rPr>
      </w:pPr>
      <w:r>
        <w:rPr>
          <w:rFonts w:hint="eastAsia"/>
          <w:b/>
          <w:bCs/>
        </w:rPr>
        <w:t>第二节 完善公路连接网</w:t>
      </w:r>
    </w:p>
    <w:p>
      <w:pPr>
        <w:ind w:firstLine="640"/>
      </w:pPr>
      <w:r>
        <w:rPr>
          <w:rFonts w:hint="eastAsia"/>
        </w:rPr>
        <w:t>做好</w:t>
      </w:r>
      <w:bookmarkStart w:id="104" w:name="_Hlk56369728"/>
      <w:r>
        <w:rPr>
          <w:rFonts w:hint="eastAsia"/>
        </w:rPr>
        <w:t>玉普高速、</w:t>
      </w:r>
      <w:bookmarkEnd w:id="104"/>
      <w:r>
        <w:rPr>
          <w:rFonts w:hint="eastAsia"/>
        </w:rPr>
        <w:t>纳晴高速、安盘高速等工程项目的保障工作。全面实施国省道改造、城市骨干路网提升、县乡村公路安防设施建设、县乡路面改善提升、农村双向公路改造、危桥改造、隧道提升改造、物流通道建设等工程，打通双水城区经六盘水高铁东站至水城经开区的城市大通道，打通北盘江上游至下游沿线大通道。完善各高速公路互联互通连接线建设。完善普通国省道与高速公路出入口、旅游景区、物流园区、交通场站、资源地等重要节点的连接网络。加强综合客运、货运枢纽建设，大力发展城镇公共交通，加快公共客运场站和停车场站建设。加强慢行交通、无障碍和适老化设施建设。扎实推动“四好农村路”高质量发展，推进农村道路地质灾害综合治理，有序推进乡镇通三级以上公路建设，完善乡村客运网。到</w:t>
      </w:r>
      <w:r>
        <w:t>2025年，全区公路里程达8000公里以上，高速公路里程突破300公里，城乡客运通达率100%，把水城区农村公路全面打造为“生态路、产业路、智慧路、平安路”</w:t>
      </w:r>
      <w:r>
        <w:rPr>
          <w:rFonts w:hint="eastAsia"/>
        </w:rPr>
        <w:t>。</w:t>
      </w:r>
    </w:p>
    <w:p>
      <w:pPr>
        <w:spacing w:line="570" w:lineRule="exact"/>
        <w:ind w:firstLine="0" w:firstLineChars="0"/>
        <w:jc w:val="center"/>
        <w:rPr>
          <w:b/>
          <w:bCs/>
        </w:rPr>
      </w:pPr>
      <w:r>
        <w:rPr>
          <w:rFonts w:hint="eastAsia"/>
          <w:b/>
          <w:bCs/>
        </w:rPr>
        <w:t>第三节 提升航空水运能力</w:t>
      </w:r>
    </w:p>
    <w:p>
      <w:pPr>
        <w:spacing w:line="540" w:lineRule="exact"/>
        <w:ind w:firstLine="640"/>
      </w:pPr>
      <w:r>
        <w:rPr>
          <w:rFonts w:hint="eastAsia"/>
        </w:rPr>
        <w:t>统筹推进通用航空机场建设，充分发挥通用机场在空中游览、空中巡查、自然保护、航拍航测、应急救援、专场飞行、警务处置等领域的作用。推进北盘江航道和库区码头建设，提升北盘江航运能力，完善北盘江航道设施整治。</w:t>
      </w:r>
    </w:p>
    <w:p>
      <w:pPr>
        <w:spacing w:line="570" w:lineRule="exact"/>
        <w:ind w:firstLine="0" w:firstLineChars="0"/>
        <w:jc w:val="center"/>
        <w:rPr>
          <w:b/>
          <w:bCs/>
        </w:rPr>
      </w:pPr>
      <w:r>
        <w:rPr>
          <w:rFonts w:hint="eastAsia"/>
          <w:b/>
          <w:bCs/>
        </w:rPr>
        <w:t>第四节 打造综合交通运输体系</w:t>
      </w:r>
    </w:p>
    <w:p>
      <w:pPr>
        <w:spacing w:after="60"/>
        <w:ind w:firstLine="640"/>
      </w:pPr>
      <w:r>
        <w:rPr>
          <w:rFonts w:hint="eastAsia"/>
        </w:rPr>
        <w:t>加快推进交通基础设施数字化建设，建设数字公路、数字港航、数字物流园区，提升交通运输信息化、智能化管理水平和预警监控能力。大力发展城镇公共交通，加快公共客运站和停车站场建设，建成一批客运枢纽站场，稳步推进公路、铁路、航空、水运等不同运输方式间客运“零距离换乘”。建设绿色交通、信用交通，加快城市智慧停车系统、智慧公交系统建设，积极推进智慧高速公路和无人驾驶配套设施建设。优化布局发展一批铁路运输服务业、公路运输服务业、航空运输服务业等企业，理顺交通运输管理体制，提升交通运输保障能力。形成网络结构完善、枢纽站点便捷、运输管理高效、出行方式环保的智慧化、网联化、协同化综合交通运输体系。</w:t>
      </w:r>
    </w:p>
    <w:p>
      <w:pPr>
        <w:pStyle w:val="2"/>
        <w:rPr>
          <w:rFonts w:eastAsiaTheme="minorEastAsia"/>
        </w:rPr>
      </w:pPr>
    </w:p>
    <w:p>
      <w:pPr>
        <w:pStyle w:val="4"/>
      </w:pPr>
    </w:p>
    <w:p>
      <w:pPr>
        <w:pStyle w:val="4"/>
      </w:pPr>
    </w:p>
    <w:p>
      <w:pPr>
        <w:pStyle w:val="4"/>
      </w:pPr>
    </w:p>
    <w:p>
      <w:pPr>
        <w:pStyle w:val="4"/>
      </w:pPr>
    </w:p>
    <w:p>
      <w:pPr>
        <w:pStyle w:val="4"/>
      </w:pPr>
    </w:p>
    <w:p>
      <w:pPr>
        <w:pStyle w:val="4"/>
        <w:rPr>
          <w:rFonts w:hint="eastAsia"/>
        </w:rPr>
      </w:pPr>
    </w:p>
    <w:p>
      <w:pPr>
        <w:pStyle w:val="4"/>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35</w:t>
            </w:r>
            <w:r>
              <w:rPr>
                <w:rFonts w:hint="eastAsia" w:ascii="楷体" w:hAnsi="楷体" w:eastAsia="楷体"/>
                <w:sz w:val="26"/>
                <w:szCs w:val="26"/>
              </w:rPr>
              <w:t xml:space="preserve"> 综合交通建设重点项目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952"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铁路路网</w:t>
            </w:r>
          </w:p>
          <w:p>
            <w:pPr>
              <w:spacing w:before="60" w:line="280" w:lineRule="exact"/>
              <w:ind w:firstLine="420"/>
              <w:rPr>
                <w:rFonts w:ascii="楷体" w:hAnsi="楷体" w:eastAsia="楷体"/>
                <w:sz w:val="26"/>
                <w:szCs w:val="26"/>
              </w:rPr>
            </w:pPr>
            <w:r>
              <w:rPr>
                <w:rFonts w:hint="eastAsia" w:ascii="楷体_GB2312" w:eastAsia="楷体_GB2312"/>
                <w:sz w:val="21"/>
                <w:szCs w:val="21"/>
              </w:rPr>
              <w:t>协助推进盘州至水城高速铁路规划建设、盘州至六盘水城际高铁海坪站建设、六盘水高铁东站经市中心至野玉海轨道交通建设、水城至纳雍铁路建设。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高速路网</w:t>
            </w:r>
          </w:p>
          <w:p>
            <w:pPr>
              <w:spacing w:line="280" w:lineRule="exact"/>
              <w:ind w:firstLine="420"/>
              <w:rPr>
                <w:rFonts w:ascii="楷体" w:hAnsi="楷体" w:eastAsia="楷体"/>
                <w:sz w:val="26"/>
                <w:szCs w:val="26"/>
              </w:rPr>
            </w:pPr>
            <w:r>
              <w:rPr>
                <w:rFonts w:hint="eastAsia" w:ascii="楷体_GB2312" w:eastAsia="楷体_GB2312"/>
                <w:sz w:val="21"/>
                <w:szCs w:val="21"/>
              </w:rPr>
              <w:t>继续推进纳晴高速水城段、安盘高速水城段项目建设、水城（玉舍）至盘州（普田）高速公路建设。争取加开G56杭瑞高速北盘江第一高桥都格境内匝道建设。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普通国省干道网</w:t>
            </w:r>
          </w:p>
          <w:p>
            <w:pPr>
              <w:spacing w:line="280" w:lineRule="exact"/>
              <w:ind w:firstLine="420"/>
              <w:rPr>
                <w:rFonts w:ascii="楷体" w:hAnsi="楷体" w:eastAsia="楷体"/>
                <w:sz w:val="26"/>
                <w:szCs w:val="26"/>
              </w:rPr>
            </w:pPr>
            <w:r>
              <w:rPr>
                <w:rFonts w:hint="eastAsia" w:ascii="楷体_GB2312" w:eastAsia="楷体_GB2312"/>
                <w:sz w:val="21"/>
                <w:szCs w:val="21"/>
              </w:rPr>
              <w:t>重点实施G246水城经开区至双水公路一级公路、G356水城花泥坝至纸厂公路、G246姬官营至普古垭口公路、推进S217水城玉舍至坪寨公路、S217水城野钟至界牌公路、S218水城发耳至鸡场公路、S310水城两路口至立火公路、S216水城米箩至河洋大桥、S217法德大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农村公路</w:t>
            </w:r>
          </w:p>
          <w:p>
            <w:pPr>
              <w:spacing w:line="280" w:lineRule="exact"/>
              <w:ind w:firstLine="420"/>
              <w:rPr>
                <w:rFonts w:ascii="楷体" w:hAnsi="楷体" w:eastAsia="楷体"/>
                <w:sz w:val="26"/>
                <w:szCs w:val="26"/>
              </w:rPr>
            </w:pPr>
            <w:r>
              <w:rPr>
                <w:rFonts w:hint="eastAsia" w:ascii="楷体_GB2312" w:eastAsia="楷体_GB2312"/>
                <w:sz w:val="21"/>
                <w:szCs w:val="21"/>
              </w:rPr>
              <w:t>推进县乡道路面提升改造工程，野玉海国家级度假区、百车河等园（景）区路网建设，红桥至盐井公路、猴场经红岩至G356公路、果布戛下以龙码头至野钟码头公路、野钟码头至天门、都格至坪寨公路、安盘高速花戛互通至花戛乡政府公路、安盘高速花戛互通至顺场公路，3800公里生命安全防护工程建设；启动“7.23”地灾点公路恢复建设；推进农村公路断头路网及桥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52"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其他方面</w:t>
            </w:r>
          </w:p>
          <w:p>
            <w:pPr>
              <w:pStyle w:val="2"/>
              <w:spacing w:after="60" w:line="280" w:lineRule="exact"/>
              <w:ind w:firstLine="420" w:firstLineChars="200"/>
              <w:rPr>
                <w:rFonts w:eastAsiaTheme="minorEastAsia"/>
              </w:rPr>
            </w:pPr>
            <w:r>
              <w:rPr>
                <w:rFonts w:hint="eastAsia" w:ascii="楷体_GB2312" w:eastAsia="楷体_GB2312"/>
              </w:rPr>
              <w:t>依托水城区现有乡镇客运站建设水城区八大片区交通运输管理站。</w:t>
            </w:r>
          </w:p>
        </w:tc>
      </w:tr>
    </w:tbl>
    <w:p>
      <w:pPr>
        <w:pStyle w:val="6"/>
        <w:spacing w:before="222"/>
      </w:pPr>
      <w:bookmarkStart w:id="105" w:name="_Toc63250090"/>
      <w:r>
        <w:rPr>
          <w:rFonts w:hint="eastAsia"/>
        </w:rPr>
        <w:t>第三十七章 建设高效可靠绿色智能电网</w:t>
      </w:r>
      <w:bookmarkEnd w:id="105"/>
    </w:p>
    <w:p>
      <w:pPr>
        <w:spacing w:after="120"/>
        <w:ind w:firstLine="640"/>
      </w:pPr>
      <w:r>
        <w:rPr>
          <w:rFonts w:hint="eastAsia"/>
        </w:rPr>
        <w:t>推进电网服务标准化和城乡供电服务均等化，支持产业园组建第三方配售电公司，加快增量配电网建设，全面建设安全、可靠、绿色、高效现代配电网。深入实施国家“西电东送”战略，推进跨区域电力市场化交易。加快城市配电网改造，持续推进实现城乡用电服务均等化。构建简洁规范的网架结构，加强人工智能与电力供应融合，推动多能互补综合供电，提高城市供电可靠性，双水城区城市核心区用户年平均停电时间不超过</w:t>
      </w:r>
      <w:r>
        <w:t>1个小时。</w:t>
      </w:r>
      <w:r>
        <w:rPr>
          <w:rFonts w:hint="eastAsia"/>
        </w:rPr>
        <w:t>优化升级农村电网，推进乡村配电自动化及配电通信网建设，提升农村供电质量和服务水平，确保故障定位准确、分析精准，逐步实现农村电网自愈控制能力全覆盖。在电制茶、电烤烟、农业电排灌等领域推动电能替代常态化、规范化运行。布局新能源终端和智能电网设施，加快电动汽车充电基础设施建设及配套电网改造，推动区域内具备条件的加油站充电设施全覆盖。预计至</w:t>
      </w:r>
      <w:r>
        <w:t>2025年，水城</w:t>
      </w:r>
      <w:r>
        <w:rPr>
          <w:rFonts w:hint="eastAsia"/>
        </w:rPr>
        <w:t>区</w:t>
      </w:r>
      <w:r>
        <w:t>电网供电可靠率为99.85%，电压合格率为99.75%，中压线路环网率为97.41%。</w:t>
      </w:r>
      <w:r>
        <w:rPr>
          <w:rFonts w:hint="eastAsia"/>
        </w:rPr>
        <w:t>到</w:t>
      </w:r>
      <w:r>
        <w:t>2025年，全</w:t>
      </w:r>
      <w:r>
        <w:rPr>
          <w:rFonts w:hint="eastAsia"/>
        </w:rPr>
        <w:t>区</w:t>
      </w:r>
      <w:r>
        <w:t>城乡配电网自动化覆盖率达到100%。</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jc w:val="center"/>
              <w:rPr>
                <w:rFonts w:ascii="楷体" w:hAnsi="楷体" w:eastAsia="楷体"/>
              </w:rPr>
            </w:pPr>
            <w:r>
              <w:rPr>
                <w:rFonts w:hint="eastAsia" w:ascii="楷体" w:hAnsi="楷体" w:eastAsia="楷体"/>
                <w:sz w:val="26"/>
                <w:szCs w:val="26"/>
              </w:rPr>
              <w:t>专栏3</w:t>
            </w:r>
            <w:r>
              <w:rPr>
                <w:rFonts w:ascii="楷体" w:hAnsi="楷体" w:eastAsia="楷体"/>
                <w:sz w:val="26"/>
                <w:szCs w:val="26"/>
              </w:rPr>
              <w:t>6 智能电网重点项目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9060" w:type="dxa"/>
          </w:tcPr>
          <w:p>
            <w:pPr>
              <w:spacing w:before="60" w:line="260" w:lineRule="exact"/>
              <w:ind w:firstLine="420"/>
              <w:rPr>
                <w:rFonts w:ascii="楷体_GB2312" w:eastAsia="楷体_GB2312"/>
                <w:sz w:val="21"/>
                <w:szCs w:val="21"/>
              </w:rPr>
            </w:pPr>
            <w:r>
              <w:rPr>
                <w:rFonts w:hint="eastAsia" w:ascii="楷体_GB2312" w:eastAsia="楷体_GB2312"/>
                <w:sz w:val="21"/>
                <w:szCs w:val="21"/>
              </w:rPr>
              <w:t>重点实施水城中心城区电缆改造、建成500kV六盘水变第三台主变扩建输变电工程；220kV六盘水台沙变第二台主变扩建、220kV六盘水滥坝变第三台主变扩建工程；110kV以朵变#2主变、110kV茶园变#2主变扩建工程、110kV猫场变、110kV发耳变、110kV前进变； 35kV输变电（勺米变、化乐变、都格变、陡箐变、花戛变、西苏变、营盘变）扩建项目，盐井变、安营变、果布嘎变新建工程，猫场变35kV送出项目； 10kV乌蒙ⅠⅡ回线、以高Ⅱ回、以观线、观以线、红加线等285.82公里工程。</w:t>
            </w:r>
          </w:p>
          <w:p>
            <w:pPr>
              <w:spacing w:line="260" w:lineRule="exact"/>
              <w:ind w:firstLine="420"/>
              <w:rPr>
                <w:rFonts w:ascii="楷体_GB2312" w:eastAsia="楷体_GB2312"/>
                <w:sz w:val="21"/>
                <w:szCs w:val="21"/>
              </w:rPr>
            </w:pPr>
            <w:r>
              <w:rPr>
                <w:rFonts w:hint="eastAsia" w:ascii="楷体_GB2312" w:eastAsia="楷体_GB2312"/>
                <w:sz w:val="21"/>
                <w:szCs w:val="21"/>
              </w:rPr>
              <w:t>重点实施水城经开区增量配电业务改革建设试点项目，新建110kV变电站1座，扩建110kV变电站1座，新增主变4台，总容量21.3万千伏安，新建110kV线路24公里；新建及改造10千伏架空线路106公里、电缆线路39公里，新建及改造0.4千伏线路116公里。</w:t>
            </w:r>
          </w:p>
          <w:p>
            <w:pPr>
              <w:pStyle w:val="2"/>
              <w:spacing w:after="60" w:line="260" w:lineRule="exact"/>
              <w:ind w:firstLine="420" w:firstLineChars="200"/>
              <w:rPr>
                <w:rFonts w:eastAsiaTheme="minorEastAsia"/>
              </w:rPr>
            </w:pPr>
            <w:r>
              <w:rPr>
                <w:rFonts w:hint="eastAsia" w:ascii="楷体_GB2312" w:eastAsia="楷体_GB2312"/>
              </w:rPr>
              <w:t>重点实施六盘水东城区电力迁改一期建设项目，对影响玄武岩产业园建设的110KV滥牵鹰I、Ⅱ回，220KV盖滥I、Ⅱ回，220KV滥铝I、Ⅱ回，35kV观音山水泥厂支线，35KV老陡黔线进行电力迁改，累计迁改线路40公里。推进水城经开区土地收储范围内电力迁改项目，新建线路52公里，迁改原线路49.5公里。推进野玉海国家级旅游度假区高低压供电线路提升改造。</w:t>
            </w:r>
          </w:p>
        </w:tc>
      </w:tr>
    </w:tbl>
    <w:p>
      <w:pPr>
        <w:pStyle w:val="6"/>
        <w:spacing w:before="222"/>
      </w:pPr>
      <w:bookmarkStart w:id="106" w:name="_Toc63250091"/>
      <w:r>
        <w:rPr>
          <w:rFonts w:hint="eastAsia"/>
        </w:rPr>
        <w:t>第三十八章 强化地下管网建设维护</w:t>
      </w:r>
      <w:bookmarkEnd w:id="106"/>
    </w:p>
    <w:p>
      <w:pPr>
        <w:spacing w:after="120"/>
        <w:ind w:firstLine="640"/>
      </w:pPr>
      <w:r>
        <w:rPr>
          <w:rFonts w:hint="eastAsia"/>
        </w:rPr>
        <w:t>解决地下管网建设与城镇发展需求不相适应的矛盾，完善地下管网系统，提升运行安全和保障能力。加强地下管网质量监管，提高建设运营管理水平，完善地下管网系统，提升运行安全和保障能力。建立城区管网信息系统持续动态更新机制，加快地下管线普查，完善地下管网设施，推进老旧管网改造，补齐地下管网短板，扩大覆盖范围。基本消除城中村、老旧城区和城乡接合部污水收集处理设施空白区，开展城市易涝点排查整治，建设雨水滞渗、收集利用等削峰调蓄设施，逐步实现清污分流，补齐排水系统短板，提高排水系统效能。对使用年限超过</w:t>
      </w:r>
      <w:r>
        <w:t>50年、材质落后、漏损严重的供水管网进行更新改造，逐步扩大城市公共供水管网覆盖范围，提升居民用水质量。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2"/>
              <w:jc w:val="center"/>
              <w:rPr>
                <w:rFonts w:ascii="楷体" w:hAnsi="楷体" w:eastAsia="楷体"/>
              </w:rPr>
            </w:pPr>
            <w:r>
              <w:rPr>
                <w:rFonts w:hint="eastAsia" w:ascii="楷体" w:hAnsi="楷体" w:eastAsia="楷体"/>
                <w:color w:val="000000"/>
                <w:sz w:val="26"/>
                <w:szCs w:val="26"/>
              </w:rPr>
              <w:t>专栏3</w:t>
            </w:r>
            <w:r>
              <w:rPr>
                <w:rFonts w:ascii="楷体" w:hAnsi="楷体" w:eastAsia="楷体"/>
                <w:color w:val="000000"/>
                <w:sz w:val="26"/>
                <w:szCs w:val="26"/>
              </w:rPr>
              <w:t>7</w:t>
            </w:r>
            <w:r>
              <w:rPr>
                <w:rFonts w:hint="eastAsia" w:ascii="楷体" w:hAnsi="楷体" w:eastAsia="楷体"/>
                <w:color w:val="000000"/>
                <w:sz w:val="26"/>
                <w:szCs w:val="26"/>
              </w:rPr>
              <w:t xml:space="preserve"> 管网建设重点项目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地下管廊建设</w:t>
            </w:r>
          </w:p>
          <w:p>
            <w:pPr>
              <w:spacing w:before="60" w:line="280" w:lineRule="exact"/>
              <w:ind w:firstLine="420"/>
              <w:rPr>
                <w:rFonts w:ascii="楷体" w:hAnsi="楷体" w:eastAsia="楷体"/>
                <w:color w:val="000000"/>
                <w:sz w:val="26"/>
                <w:szCs w:val="26"/>
              </w:rPr>
            </w:pPr>
            <w:r>
              <w:rPr>
                <w:rFonts w:hint="eastAsia" w:ascii="楷体_GB2312" w:eastAsia="楷体_GB2312"/>
                <w:sz w:val="21"/>
                <w:szCs w:val="21"/>
              </w:rPr>
              <w:t>重点实施水城城区地下综合管廊项目（二期）、水城大道综合管廊、以朵大道综合管廊、董地一号路综合管廊、白云大道综合管廊、水城经开区综合管廊、六盘水东部城区城市燃气改造、小城区乡镇燃气管网、野玉海国家级旅游度假区燃气管网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城镇污水垃圾处理项目</w:t>
            </w:r>
          </w:p>
          <w:p>
            <w:pPr>
              <w:pStyle w:val="2"/>
              <w:spacing w:after="60" w:line="280" w:lineRule="exact"/>
              <w:ind w:firstLine="420" w:firstLineChars="200"/>
              <w:rPr>
                <w:rFonts w:eastAsiaTheme="minorEastAsia"/>
              </w:rPr>
            </w:pPr>
            <w:r>
              <w:rPr>
                <w:rFonts w:hint="eastAsia" w:ascii="楷体_GB2312" w:eastAsia="楷体_GB2312"/>
              </w:rPr>
              <w:t>重点实施水城经开区工业污水处理项目、水城城乡污水管网完善维护、双水城区排水防涝工程、六盘水市东部城区污水处理系统提升改造、水城地下水污染防治、发耳镇污水处理设施及配套服务设施等项目建设。推进水城城镇污水处理一体化项目，新建26座污水处理厂，日处理污水共计约2.28万立方米，配套建设477.6公里污水管网及设备设施。推进陡箐镇、米箩镇、发耳镇、龙场乡污水处理配套建设项目，包括配套道路5.9公里，污水管网7.1公里，供水管网6公里，污水处理设施及配套服务设施建设。推进野玉海污水处理厂一座及污水管网70.2公里建设。</w:t>
            </w:r>
          </w:p>
        </w:tc>
      </w:tr>
    </w:tbl>
    <w:p>
      <w:pPr>
        <w:pStyle w:val="6"/>
        <w:spacing w:before="222"/>
      </w:pPr>
      <w:bookmarkStart w:id="107" w:name="_Toc63250092"/>
      <w:r>
        <w:rPr>
          <w:rFonts w:hint="eastAsia"/>
        </w:rPr>
        <w:t>第三十九章 推进新型基础设施建设</w:t>
      </w:r>
      <w:bookmarkEnd w:id="107"/>
    </w:p>
    <w:p>
      <w:pPr>
        <w:ind w:firstLine="640"/>
        <w:rPr>
          <w:rFonts w:eastAsiaTheme="minorEastAsia"/>
        </w:rPr>
      </w:pPr>
      <w:r>
        <w:rPr>
          <w:rFonts w:hint="eastAsia"/>
        </w:rPr>
        <w:t>加快推进5</w:t>
      </w:r>
      <w:r>
        <w:t>G</w:t>
      </w:r>
      <w:r>
        <w:rPr>
          <w:rFonts w:hint="eastAsia"/>
        </w:rPr>
        <w:t>、物联网、工业互联网、智慧城市、充电基础设施、数据中心等新型基础设施建设，基本形成高速、泛在、融合、智能的发展格局。</w:t>
      </w:r>
    </w:p>
    <w:p>
      <w:pPr>
        <w:spacing w:line="570" w:lineRule="exact"/>
        <w:ind w:firstLine="0" w:firstLineChars="0"/>
        <w:jc w:val="center"/>
        <w:rPr>
          <w:b/>
          <w:bCs/>
        </w:rPr>
      </w:pPr>
      <w:r>
        <w:rPr>
          <w:rFonts w:hint="eastAsia"/>
          <w:b/>
          <w:bCs/>
        </w:rPr>
        <w:t>第一节 加强信息基础设施建设</w:t>
      </w:r>
    </w:p>
    <w:p>
      <w:pPr>
        <w:ind w:firstLine="640"/>
      </w:pPr>
      <w:r>
        <w:rPr>
          <w:rFonts w:hint="eastAsia"/>
        </w:rPr>
        <w:t>推动新型基础设施建设，重点推进5</w:t>
      </w:r>
      <w:r>
        <w:t>G</w:t>
      </w:r>
      <w:r>
        <w:rPr>
          <w:rFonts w:hint="eastAsia"/>
        </w:rPr>
        <w:t>基站以及以物联网为基础的大数据建设，推进全市骨干网、城域网和接入网升级改造，实现“百兆乡村、千兆城区、万兆园区”光纤覆盖格局，推动5</w:t>
      </w:r>
      <w:r>
        <w:t>G</w:t>
      </w:r>
      <w:r>
        <w:rPr>
          <w:rFonts w:hint="eastAsia"/>
        </w:rPr>
        <w:t>网络实现水城区域内全覆盖，加强窄带物联网、超远距离无线传输网络升级部署力度，开展面向工业互联网应用的窄带物联网、5</w:t>
      </w:r>
      <w:r>
        <w:t>G</w:t>
      </w:r>
      <w:r>
        <w:rPr>
          <w:rFonts w:hint="eastAsia"/>
        </w:rPr>
        <w:t>等网络技术试验，加强工业互联网专用频率的资源保护和干扰保护，基本形成广覆盖、低时延、高可靠的工业互联网体系。</w:t>
      </w:r>
    </w:p>
    <w:p>
      <w:pPr>
        <w:spacing w:line="570" w:lineRule="exact"/>
        <w:ind w:firstLine="0" w:firstLineChars="0"/>
        <w:jc w:val="center"/>
        <w:rPr>
          <w:b/>
          <w:bCs/>
        </w:rPr>
      </w:pPr>
      <w:r>
        <w:rPr>
          <w:rFonts w:hint="eastAsia"/>
          <w:b/>
          <w:bCs/>
        </w:rPr>
        <w:t>第二节 提高油气管网输配能力</w:t>
      </w:r>
    </w:p>
    <w:p>
      <w:pPr>
        <w:spacing w:line="520" w:lineRule="exact"/>
        <w:ind w:firstLine="640"/>
      </w:pPr>
      <w:r>
        <w:t>加快建设天然气（非常规天然气）气源基地，完善天然气输配管网，推进乡镇天然气管道建设。依托六枝—水城</w:t>
      </w:r>
      <w:r>
        <w:rPr>
          <w:rFonts w:hint="eastAsia"/>
        </w:rPr>
        <w:t>、</w:t>
      </w:r>
      <w:r>
        <w:t>水城末站—大河天然气管道，</w:t>
      </w:r>
      <w:r>
        <w:rPr>
          <w:rFonts w:hint="eastAsia"/>
        </w:rPr>
        <w:t>提升</w:t>
      </w:r>
      <w:r>
        <w:t>天然气输配管网。加强与各类规划衔接，推进城市燃气管网建设改造，逐步扩大城市燃气管网覆盖范围，定期开展燃气管网隐患排查整治，对运行时限超过设计使用年限、存在安全隐患的燃气管网及时启动改造，合理布局乡（镇）天然气管网和配套设施。</w:t>
      </w:r>
      <w:r>
        <w:rPr>
          <w:rFonts w:hint="eastAsia"/>
        </w:rPr>
        <w:t>合理规划布局油库、加油站，完善成品油零售网络，实现成品油零售网络乡镇全覆盖，全面提高成品油供应保障能力。</w:t>
      </w:r>
    </w:p>
    <w:p>
      <w:pPr>
        <w:spacing w:line="570" w:lineRule="exact"/>
        <w:ind w:firstLine="0" w:firstLineChars="0"/>
        <w:jc w:val="center"/>
        <w:rPr>
          <w:b/>
          <w:bCs/>
        </w:rPr>
      </w:pPr>
      <w:r>
        <w:rPr>
          <w:rFonts w:hint="eastAsia"/>
          <w:b/>
          <w:bCs/>
        </w:rPr>
        <w:t>第三节 加强融合基础设施建设</w:t>
      </w:r>
    </w:p>
    <w:p>
      <w:pPr>
        <w:spacing w:after="120" w:line="520" w:lineRule="exact"/>
        <w:ind w:firstLine="640"/>
      </w:pPr>
      <w:r>
        <w:rPr>
          <w:rFonts w:hint="eastAsia"/>
        </w:rPr>
        <w:t>抢抓六盘水市入选首批国家智慧城市试点机遇，加快推动互联网、大数据、人工智能、5</w:t>
      </w:r>
      <w:r>
        <w:t>G</w:t>
      </w:r>
      <w:r>
        <w:rPr>
          <w:rFonts w:hint="eastAsia"/>
        </w:rPr>
        <w:t>等技术融入安全生产、交通运输、城市管理、能源管理、政务服务、环境监测等传统基础设施领域，提升社会治理水平。推进电动汽车充电基础设施建设，在医院、居民小区、学校、酒店、加油站、加气站、旅游景区等区域新建一批电动汽车充电桩，老旧小区改造和新建商住用房合理布局充电桩停车位，确保满足居民对充电设施的需要。</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专栏3</w:t>
            </w:r>
            <w:r>
              <w:rPr>
                <w:rFonts w:ascii="楷体" w:hAnsi="楷体" w:eastAsia="楷体"/>
                <w:sz w:val="26"/>
                <w:szCs w:val="26"/>
              </w:rPr>
              <w:t>8</w:t>
            </w:r>
            <w:r>
              <w:rPr>
                <w:rFonts w:hint="eastAsia" w:ascii="楷体" w:hAnsi="楷体" w:eastAsia="楷体"/>
                <w:sz w:val="26"/>
                <w:szCs w:val="26"/>
              </w:rPr>
              <w:t xml:space="preserve"> 基础设施重点项目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城镇供水安全保障项目</w:t>
            </w:r>
          </w:p>
          <w:p>
            <w:pPr>
              <w:spacing w:before="60" w:line="280" w:lineRule="exact"/>
              <w:ind w:firstLine="420"/>
              <w:rPr>
                <w:rFonts w:ascii="楷体" w:hAnsi="楷体" w:eastAsia="楷体"/>
                <w:sz w:val="26"/>
                <w:szCs w:val="26"/>
              </w:rPr>
            </w:pPr>
            <w:r>
              <w:rPr>
                <w:rFonts w:hint="eastAsia" w:ascii="楷体_GB2312" w:eastAsia="楷体_GB2312"/>
                <w:sz w:val="21"/>
                <w:szCs w:val="21"/>
              </w:rPr>
              <w:t>重点实施东部城区排水（雨水）综合治理项目、六盘水东城区排水管网改造项目和供水管网改造项目、水城城区排水防涝设施项目。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城镇供热项目</w:t>
            </w:r>
          </w:p>
          <w:p>
            <w:pPr>
              <w:spacing w:line="280" w:lineRule="exact"/>
              <w:ind w:firstLine="420"/>
              <w:rPr>
                <w:rFonts w:ascii="楷体" w:hAnsi="楷体" w:eastAsia="楷体"/>
                <w:sz w:val="26"/>
                <w:szCs w:val="26"/>
              </w:rPr>
            </w:pPr>
            <w:r>
              <w:rPr>
                <w:rFonts w:hint="eastAsia" w:ascii="楷体_GB2312" w:eastAsia="楷体_GB2312"/>
                <w:sz w:val="21"/>
                <w:szCs w:val="21"/>
              </w:rPr>
              <w:t>重点实施水城办公区集中供热项目、水城12个易扶安置点集中供热项目、水城城区学校集中供热项目、水城城区医院集中供热项目、水城城区住宅集中供热项目。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老旧管线改造</w:t>
            </w:r>
          </w:p>
          <w:p>
            <w:pPr>
              <w:spacing w:line="280" w:lineRule="exact"/>
              <w:ind w:firstLine="420"/>
              <w:rPr>
                <w:rFonts w:ascii="楷体_GB2312" w:eastAsia="楷体_GB2312"/>
                <w:b/>
                <w:bCs/>
                <w:sz w:val="21"/>
                <w:szCs w:val="21"/>
              </w:rPr>
            </w:pPr>
            <w:r>
              <w:rPr>
                <w:rFonts w:hint="eastAsia" w:ascii="楷体_GB2312" w:eastAsia="楷体_GB2312"/>
                <w:sz w:val="21"/>
                <w:szCs w:val="21"/>
              </w:rPr>
              <w:t>重点实施水城区老旧小区燃气管网改造、水城区城镇燃气管网建设、水城区供暖管网建设。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油（气）储备设施</w:t>
            </w:r>
          </w:p>
          <w:p>
            <w:pPr>
              <w:spacing w:line="280" w:lineRule="exact"/>
              <w:ind w:firstLine="420"/>
              <w:rPr>
                <w:rFonts w:ascii="楷体_GB2312" w:eastAsia="楷体_GB2312"/>
                <w:b/>
                <w:bCs/>
                <w:sz w:val="21"/>
                <w:szCs w:val="21"/>
              </w:rPr>
            </w:pPr>
            <w:r>
              <w:rPr>
                <w:rFonts w:hint="eastAsia" w:ascii="楷体_GB2312" w:eastAsia="楷体_GB2312"/>
                <w:sz w:val="21"/>
                <w:szCs w:val="21"/>
              </w:rPr>
              <w:t>重点推进水城经开区LNG储备站及输配管网、水城经开区天然气供应项目建设。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5 </w:t>
            </w:r>
            <w:r>
              <w:rPr>
                <w:rFonts w:hint="eastAsia" w:ascii="楷体_GB2312" w:eastAsia="楷体_GB2312"/>
                <w:b/>
                <w:bCs/>
                <w:sz w:val="21"/>
                <w:szCs w:val="21"/>
              </w:rPr>
              <w:t>输油（气）管网</w:t>
            </w:r>
          </w:p>
          <w:p>
            <w:pPr>
              <w:spacing w:line="280" w:lineRule="exact"/>
              <w:ind w:firstLine="420"/>
              <w:rPr>
                <w:rFonts w:ascii="楷体_GB2312" w:eastAsia="楷体_GB2312"/>
                <w:sz w:val="21"/>
                <w:szCs w:val="21"/>
              </w:rPr>
            </w:pPr>
            <w:r>
              <w:rPr>
                <w:rFonts w:hint="eastAsia" w:ascii="楷体_GB2312" w:eastAsia="楷体_GB2312"/>
                <w:sz w:val="21"/>
                <w:szCs w:val="21"/>
              </w:rPr>
              <w:t>协助推进六枝—水城—威宁天然气管道、毕节—水城—盘州天然气管道等项目建设。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6 </w:t>
            </w:r>
            <w:r>
              <w:rPr>
                <w:rFonts w:hint="eastAsia" w:ascii="楷体_GB2312" w:eastAsia="楷体_GB2312"/>
                <w:b/>
                <w:bCs/>
                <w:sz w:val="21"/>
                <w:szCs w:val="21"/>
              </w:rPr>
              <w:t>信息基础设施</w:t>
            </w:r>
          </w:p>
          <w:p>
            <w:pPr>
              <w:spacing w:line="280" w:lineRule="exact"/>
              <w:ind w:firstLine="420"/>
              <w:rPr>
                <w:sz w:val="28"/>
                <w:szCs w:val="28"/>
              </w:rPr>
            </w:pPr>
            <w:r>
              <w:rPr>
                <w:rFonts w:hint="eastAsia" w:ascii="楷体_GB2312" w:eastAsia="楷体_GB2312"/>
                <w:sz w:val="21"/>
                <w:szCs w:val="21"/>
              </w:rPr>
              <w:t>重点推进智慧停车管理系统和城市、园（景）区智能充电桩项目建设。</w:t>
            </w:r>
          </w:p>
        </w:tc>
      </w:tr>
    </w:tbl>
    <w:p>
      <w:pPr>
        <w:pStyle w:val="5"/>
        <w:rPr>
          <w:sz w:val="34"/>
          <w:szCs w:val="34"/>
        </w:rPr>
      </w:pPr>
      <w:bookmarkStart w:id="108" w:name="_Toc63250093"/>
      <w:r>
        <w:rPr>
          <w:rFonts w:hint="eastAsia"/>
          <w:sz w:val="34"/>
          <w:szCs w:val="34"/>
        </w:rPr>
        <w:t>第十一篇 全面构建文化繁荣发展体系，凝聚高质量发展精神力量</w:t>
      </w:r>
      <w:bookmarkEnd w:id="108"/>
    </w:p>
    <w:p>
      <w:pPr>
        <w:ind w:firstLine="640"/>
      </w:pPr>
      <w:r>
        <w:rPr>
          <w:rFonts w:hint="eastAsia"/>
        </w:rPr>
        <w:t>坚持以社会主义核心价值观引领文化建设，围绕举旗帜、聚民心、育新人、兴文化、展形象的使命任务，大力弘扬新时代贵州精神和创业奉献“三线”精神、创新争先“三变”精神，坚定文化自信，提升文化软实力。</w:t>
      </w:r>
    </w:p>
    <w:p>
      <w:pPr>
        <w:pStyle w:val="6"/>
        <w:spacing w:before="222"/>
      </w:pPr>
      <w:bookmarkStart w:id="109" w:name="_Toc63250094"/>
      <w:r>
        <w:rPr>
          <w:rFonts w:hint="eastAsia"/>
        </w:rPr>
        <w:t>第四十章 筑牢理想信念根基</w:t>
      </w:r>
      <w:bookmarkEnd w:id="109"/>
    </w:p>
    <w:p>
      <w:pPr>
        <w:ind w:firstLine="640"/>
        <w:rPr>
          <w:rFonts w:ascii="楷体" w:hAnsi="楷体" w:eastAsia="楷体" w:cs="楷体"/>
          <w:b/>
          <w:bCs/>
        </w:rPr>
      </w:pPr>
      <w:r>
        <w:rPr>
          <w:rFonts w:hint="eastAsia" w:cs="仿宋_GB2312"/>
        </w:rPr>
        <w:t>以社会主义先进文化凝聚育人力量</w:t>
      </w:r>
      <w:r>
        <w:t>，践行社会主义核心价值观，</w:t>
      </w:r>
      <w:r>
        <w:rPr>
          <w:rFonts w:hint="eastAsia"/>
        </w:rPr>
        <w:t>在广大人民群众中深入开展学习贯彻习近平新时代中国特色社会主义思想主题教育</w:t>
      </w:r>
      <w:r>
        <w:t>，</w:t>
      </w:r>
      <w:bookmarkStart w:id="152" w:name="_GoBack"/>
      <w:bookmarkEnd w:id="152"/>
      <w:r>
        <w:t>传承好红色文化、</w:t>
      </w:r>
      <w:r>
        <w:rPr>
          <w:rFonts w:hint="eastAsia"/>
        </w:rPr>
        <w:t>“</w:t>
      </w:r>
      <w:r>
        <w:t>三线</w:t>
      </w:r>
      <w:r>
        <w:rPr>
          <w:rFonts w:hint="eastAsia"/>
        </w:rPr>
        <w:t>”</w:t>
      </w:r>
      <w:r>
        <w:t>文化</w:t>
      </w:r>
      <w:r>
        <w:rPr>
          <w:rFonts w:hint="eastAsia"/>
        </w:rPr>
        <w:t>、“三变”文化</w:t>
      </w:r>
      <w:r>
        <w:t>和中华民族优秀传统文化，推动理想信念教育常态化制度化，深入推进</w:t>
      </w:r>
      <w:r>
        <w:rPr>
          <w:rFonts w:hint="eastAsia"/>
        </w:rPr>
        <w:t>“</w:t>
      </w:r>
      <w:r>
        <w:t>牢记嘱托、感恩奋进，迈向更加美好新生活</w:t>
      </w:r>
      <w:r>
        <w:rPr>
          <w:rFonts w:hint="eastAsia"/>
        </w:rPr>
        <w:t>”</w:t>
      </w:r>
      <w:r>
        <w:t>专题活动，持续开展党史、新中国史、改革开放史、社会主义发展史教育</w:t>
      </w:r>
      <w:r>
        <w:rPr>
          <w:rFonts w:hint="eastAsia"/>
        </w:rPr>
        <w:t>。</w:t>
      </w:r>
      <w:r>
        <w:t>加强和改进学校思想政治教育，健全青少年理想信念教育齐抓共管机制，建立和完善对非公有制经济组织从业人员、新兴社会群体思想政治工作的有效形式，不断加强爱国主义、集体主义、社会主义教育，建好用好爱国主义教育示范基地，弘扬党和人民在各个历史时期奋斗中形成的伟大精神，引导人们树立正确的历史观、民族观、国家观、文化观，树立共产主义远大理想和中国特色社会主义共同理想，坚定道路自信、理论自信、制度自信、文化自信</w:t>
      </w:r>
      <w:r>
        <w:rPr>
          <w:rFonts w:hint="eastAsia"/>
        </w:rPr>
        <w:t>，夯实理想信念根基，凝聚共同繁荣发展的精神力量。</w:t>
      </w:r>
    </w:p>
    <w:p>
      <w:pPr>
        <w:pStyle w:val="6"/>
        <w:spacing w:before="222"/>
      </w:pPr>
      <w:bookmarkStart w:id="110" w:name="_Toc26735"/>
      <w:bookmarkStart w:id="111" w:name="_Toc29413"/>
      <w:bookmarkStart w:id="112" w:name="_Toc1782"/>
      <w:bookmarkStart w:id="113" w:name="_Toc20492"/>
      <w:bookmarkStart w:id="114" w:name="_Toc63250095"/>
      <w:r>
        <w:rPr>
          <w:rFonts w:hint="eastAsia"/>
        </w:rPr>
        <w:t xml:space="preserve">第四十一章 </w:t>
      </w:r>
      <w:bookmarkEnd w:id="110"/>
      <w:bookmarkEnd w:id="111"/>
      <w:bookmarkEnd w:id="112"/>
      <w:bookmarkEnd w:id="113"/>
      <w:r>
        <w:rPr>
          <w:rFonts w:hint="eastAsia"/>
        </w:rPr>
        <w:t>巩固壮大主流舆论</w:t>
      </w:r>
      <w:bookmarkEnd w:id="114"/>
    </w:p>
    <w:p>
      <w:pPr>
        <w:spacing w:after="120"/>
        <w:ind w:firstLine="640"/>
      </w:pPr>
      <w:r>
        <w:rPr>
          <w:rFonts w:hint="eastAsia"/>
        </w:rPr>
        <w:t>坚持团结稳定鼓劲、正面宣传为主，推动新闻宣传、舆论监督、决策参考三位一体、协同发力，不断提升新闻舆论传播力、引导力、影响力和公信力，坚持正确政治方向、舆论导向、价值取向，大力开展主题宣传、形势宣传、政策宣传、成就宣传和典型宣传等，唱响主旋律，弘扬正能量。完善坚持正确导向的舆论引导工作机制，严格落实意识形态工作责任制，强化各类意识形态阵地建设和管理。健全党委和政府新闻发言人制度，完善突发事件新闻发布、应急处置联动机制。支持区融媒体中心深度融合发展，做强做大新型主流媒体。加强网络空间治理，持续提高管网治网能力，发展积极健康的网络文化。推动省、市、县（区）三级网信工作机制建设，强化意识形态领域安全预警，加强对重点领域、重点部位、重要节点、重大事项的监测，做好舆情研判管控和引导处置，守好意识形态领域安全底线。建立网络舆情信息预警联合研判机制，完善网络安全应急指挥中心规范化建设，严密防范和打击各种渗透颠覆破坏活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专栏3</w:t>
            </w:r>
            <w:r>
              <w:rPr>
                <w:rFonts w:ascii="楷体" w:hAnsi="楷体" w:eastAsia="楷体"/>
                <w:sz w:val="26"/>
                <w:szCs w:val="26"/>
              </w:rPr>
              <w:t>9</w:t>
            </w:r>
            <w:r>
              <w:rPr>
                <w:rFonts w:hint="eastAsia" w:ascii="楷体" w:hAnsi="楷体" w:eastAsia="楷体"/>
                <w:sz w:val="26"/>
                <w:szCs w:val="26"/>
              </w:rPr>
              <w:t xml:space="preserve"> 主流舆论建设重点项目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789" w:type="dxa"/>
          </w:tcPr>
          <w:p>
            <w:pPr>
              <w:spacing w:before="60" w:line="280" w:lineRule="exact"/>
              <w:ind w:firstLine="420"/>
              <w:rPr>
                <w:sz w:val="21"/>
                <w:szCs w:val="21"/>
              </w:rPr>
            </w:pPr>
            <w:r>
              <w:rPr>
                <w:rFonts w:hint="eastAsia"/>
                <w:sz w:val="21"/>
                <w:szCs w:val="21"/>
              </w:rPr>
              <w:t>推进龙场乡碗厂红军烈士墓修缮及周边环境整治提升，对烈士墓进行修缮，对进园道路、附属设施和周边环境进行提升。</w:t>
            </w:r>
          </w:p>
          <w:p>
            <w:pPr>
              <w:spacing w:line="280" w:lineRule="exact"/>
              <w:ind w:firstLine="420"/>
              <w:rPr>
                <w:sz w:val="21"/>
                <w:szCs w:val="21"/>
              </w:rPr>
            </w:pPr>
            <w:r>
              <w:rPr>
                <w:rFonts w:hint="eastAsia"/>
                <w:sz w:val="21"/>
                <w:szCs w:val="21"/>
              </w:rPr>
              <w:t>推进尹志勇烈士纪念馆建设。</w:t>
            </w:r>
          </w:p>
          <w:p>
            <w:pPr>
              <w:spacing w:line="280" w:lineRule="exact"/>
              <w:ind w:firstLine="420"/>
            </w:pPr>
            <w:r>
              <w:rPr>
                <w:rFonts w:hint="eastAsia"/>
                <w:sz w:val="21"/>
                <w:szCs w:val="21"/>
              </w:rPr>
              <w:t>推进红九军团在水城境内长征行军沿线景区步道建设工程，红九军团在水城境内行军路线徒步体验和红军文化记忆项目，红军巧渡北盘江信息化体验馆建设，“虎跳石”红军长征活动遗址提升工程等红色文化项目。</w:t>
            </w:r>
          </w:p>
        </w:tc>
      </w:tr>
    </w:tbl>
    <w:p>
      <w:pPr>
        <w:pStyle w:val="6"/>
        <w:spacing w:before="222"/>
      </w:pPr>
      <w:bookmarkStart w:id="115" w:name="_Toc63250096"/>
      <w:r>
        <w:rPr>
          <w:rFonts w:hint="eastAsia"/>
        </w:rPr>
        <w:t>第四十二章 提升公共文化服务水平</w:t>
      </w:r>
      <w:bookmarkEnd w:id="115"/>
    </w:p>
    <w:p>
      <w:pPr>
        <w:ind w:firstLine="640"/>
      </w:pPr>
      <w:r>
        <w:rPr>
          <w:rFonts w:hint="eastAsia"/>
        </w:rPr>
        <w:t>健全城乡公共文化服务体系，提升公共文化服务水平，增加优秀城乡文化产品和服务供给，推进基本公共文化服务标准化、均等化。</w:t>
      </w:r>
    </w:p>
    <w:p>
      <w:pPr>
        <w:pStyle w:val="2"/>
        <w:spacing w:line="560" w:lineRule="exact"/>
        <w:jc w:val="center"/>
        <w:rPr>
          <w:rFonts w:ascii="仿宋_GB2312" w:hAnsi="仿宋_GB2312" w:eastAsia="仿宋_GB2312" w:cs="仿宋_GB2312"/>
          <w:sz w:val="32"/>
          <w:szCs w:val="32"/>
        </w:rPr>
      </w:pPr>
      <w:r>
        <w:rPr>
          <w:rFonts w:hint="eastAsia" w:ascii="楷体" w:hAnsi="楷体" w:eastAsia="楷体" w:cs="楷体"/>
          <w:b/>
          <w:bCs/>
          <w:sz w:val="32"/>
          <w:szCs w:val="32"/>
        </w:rPr>
        <w:t>第一节  深入推进社会主义精神文明建设</w:t>
      </w:r>
    </w:p>
    <w:p>
      <w:pPr>
        <w:ind w:firstLine="640"/>
        <w:rPr>
          <w:b/>
          <w:bCs/>
        </w:rPr>
      </w:pPr>
      <w:r>
        <w:rPr>
          <w:rFonts w:ascii="Times New Roman" w:hAnsi="Times New Roman"/>
        </w:rPr>
        <w:t>大力弘扬时代新风，提高人民思想觉悟、道德水准、文明素养，不断提高全社会文明程度。</w:t>
      </w:r>
      <w:r>
        <w:rPr>
          <w:rFonts w:hint="eastAsia"/>
        </w:rPr>
        <w:t>建立巩固提升全国文明城市创建成果长效机制，深入开展文明村镇、文明单位、文明家庭、文明校园创建活动，开辟文明城市创建新境界。不断提升城乡居民道德水平，大力倡导诚信道德规范，切实提高社会文明程度，坚定文化自信。加强社会主义公民道德建设，实施农村精神文明创建活动，构建覆盖区乡村三级的新时代文明实践体系。</w:t>
      </w:r>
      <w:r>
        <w:rPr>
          <w:rFonts w:ascii="Times New Roman" w:hAnsi="Times New Roman"/>
        </w:rPr>
        <w:t>持续深入推进群众性精神文明创建活动，不断夯实文明城市创建</w:t>
      </w:r>
      <w:r>
        <w:rPr>
          <w:rFonts w:hint="eastAsia" w:ascii="Times New Roman" w:hAnsi="Times New Roman"/>
        </w:rPr>
        <w:t>群众基础。</w:t>
      </w:r>
      <w:r>
        <w:rPr>
          <w:rFonts w:hint="eastAsia"/>
        </w:rPr>
        <w:t>健全志愿服务体系，提升制度化、规范化、常态化、品牌化水平。</w:t>
      </w:r>
      <w:r>
        <w:rPr>
          <w:rFonts w:ascii="Times New Roman" w:hAnsi="Times New Roman"/>
        </w:rPr>
        <w:t>大力提倡勤俭节约、绿色低碳、文明健康的生活方式和消费模式，倡导生态文明行为。</w:t>
      </w:r>
      <w:r>
        <w:rPr>
          <w:rFonts w:hint="eastAsia"/>
        </w:rPr>
        <w:t>广泛开展先进典型选树宣传活动，不断加强家庭、家教、家风建设，营造“崇德向善、见贤思齐”的社会文明新风尚。</w:t>
      </w:r>
    </w:p>
    <w:p>
      <w:pPr>
        <w:pStyle w:val="2"/>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深化拓展新时代文明实践</w:t>
      </w:r>
    </w:p>
    <w:p>
      <w:pPr>
        <w:ind w:firstLine="640"/>
      </w:pPr>
      <w:r>
        <w:rPr>
          <w:rFonts w:hint="eastAsia" w:cs="仿宋_GB2312"/>
        </w:rPr>
        <w:t>实施以志愿服务为主体的文明实践活动，整合各类社会资源，完善基层公共文化服务体系。强化供需对接，落实“十送”志愿服务，打通服务群众最后一公里，不断加大新时代文明实践中心建设。</w:t>
      </w:r>
      <w:r>
        <w:t>持续加大对市场、公共设施、公共场合的规范管理，</w:t>
      </w:r>
      <w:r>
        <w:rPr>
          <w:rFonts w:hint="eastAsia"/>
        </w:rPr>
        <w:t>严厉打击黑车、黑的</w:t>
      </w:r>
      <w:r>
        <w:t>，持续开展好窗口单位文明创建巩固提升工作，做好相关群众宣传文化活动的常态化组织</w:t>
      </w:r>
      <w:r>
        <w:rPr>
          <w:rFonts w:hint="eastAsia"/>
        </w:rPr>
        <w:t>，</w:t>
      </w:r>
      <w:r>
        <w:t>持续推进移风易俗，培育</w:t>
      </w:r>
      <w:r>
        <w:rPr>
          <w:rFonts w:hint="eastAsia"/>
        </w:rPr>
        <w:t>群众</w:t>
      </w:r>
      <w:r>
        <w:t>健康生活方式。到2025年，</w:t>
      </w:r>
      <w:r>
        <w:rPr>
          <w:rFonts w:hint="eastAsia"/>
        </w:rPr>
        <w:t>区</w:t>
      </w:r>
      <w:r>
        <w:t>级以上文明村镇占全</w:t>
      </w:r>
      <w:r>
        <w:rPr>
          <w:rFonts w:hint="eastAsia"/>
        </w:rPr>
        <w:t>区</w:t>
      </w:r>
      <w:r>
        <w:t>村镇的比例达50%以上，</w:t>
      </w:r>
      <w:r>
        <w:rPr>
          <w:rFonts w:hint="eastAsia"/>
        </w:rPr>
        <w:t>区</w:t>
      </w:r>
      <w:r>
        <w:t>级以上文明单位占全</w:t>
      </w:r>
      <w:r>
        <w:rPr>
          <w:rFonts w:hint="eastAsia"/>
        </w:rPr>
        <w:t>区</w:t>
      </w:r>
      <w:r>
        <w:t>单位的比例达50%以上，</w:t>
      </w:r>
      <w:r>
        <w:rPr>
          <w:rFonts w:hint="eastAsia"/>
        </w:rPr>
        <w:t>区</w:t>
      </w:r>
      <w:r>
        <w:t>级以上文明校园占全</w:t>
      </w:r>
      <w:r>
        <w:rPr>
          <w:rFonts w:hint="eastAsia"/>
        </w:rPr>
        <w:t>区</w:t>
      </w:r>
      <w:r>
        <w:t>学校的比例达60%以</w:t>
      </w:r>
      <w:r>
        <w:rPr>
          <w:rFonts w:hint="eastAsia"/>
        </w:rPr>
        <w:t>上。</w:t>
      </w:r>
    </w:p>
    <w:p>
      <w:pPr>
        <w:ind w:firstLine="0" w:firstLineChars="0"/>
        <w:jc w:val="center"/>
        <w:rPr>
          <w:b/>
          <w:bCs/>
        </w:rPr>
      </w:pPr>
      <w:r>
        <w:rPr>
          <w:rFonts w:hint="eastAsia"/>
          <w:b/>
          <w:bCs/>
        </w:rPr>
        <w:t>第三节 完善公共文化服务设施</w:t>
      </w:r>
    </w:p>
    <w:p>
      <w:pPr>
        <w:ind w:firstLine="640"/>
      </w:pPr>
      <w:r>
        <w:rPr>
          <w:rFonts w:hint="eastAsia"/>
        </w:rPr>
        <w:t>巩固提升国家公共文化服务体系示范区创建成果，合理规划城乡公共文化设施建设和布局，创新实施文化惠民工程，加快公共文化服务设施建设，完善区乡村三级公共文化服务体系，不断满足群众公共文化服务需求。改造提升区图书馆馆场设施，力争将区图书馆创建为国家一级馆。改造提升区文化馆剧场、功能室等设施设备，推进区图书馆、文化馆总分馆建设，完成数字文化馆建设，提升乡镇综合文化站、村（社区）综合文化服务中心等基础设施质量，实现公共文化服务标准化均等化。启动建设水城区民族博物馆。加快有线电视网络升级迭代，推动广播电视网络“云、网、端”资源要素有效整合，巩固拓展广播电视“村村通、户户用”工程建设成效。加快数字农家书屋、文体活动室、村史室、戏台等设施建设，实现基层综合文化服务中心全覆盖，进一步强化群众文化阵地建设。</w:t>
      </w:r>
    </w:p>
    <w:p>
      <w:pPr>
        <w:ind w:firstLine="0" w:firstLineChars="0"/>
        <w:jc w:val="center"/>
        <w:rPr>
          <w:b/>
          <w:bCs/>
        </w:rPr>
      </w:pPr>
      <w:r>
        <w:rPr>
          <w:rFonts w:hint="eastAsia"/>
          <w:b/>
          <w:bCs/>
        </w:rPr>
        <w:t>第四节 提升公共文化产品和服务供给</w:t>
      </w:r>
    </w:p>
    <w:p>
      <w:pPr>
        <w:ind w:firstLine="640"/>
      </w:pPr>
      <w:r>
        <w:rPr>
          <w:rFonts w:hint="eastAsia"/>
        </w:rPr>
        <w:t>大力推进文化艺术人才培养、群众文艺团队培养等工作力度，制定出台相关扶持政策。持续开展好送文化下乡活动，支持文艺工作者深入生活、扎根人民，促进城乡公共文化服务均衡发展，提供老年人、残疾人、少年儿童等特殊群体的公共文化产品和服务。完善全民阅读活动的组织形式，推广普及数字阅读，建立面向不同群体的阅读推荐体系。鼓励吸纳有文艺特长的退休教师、“新乡贤”、社团文化骨干等参与乡村文化治理，增加农村公共文化服务总量供给，缩小城乡公共文化服务差距。</w:t>
      </w:r>
    </w:p>
    <w:p>
      <w:pPr>
        <w:ind w:firstLine="0" w:firstLineChars="0"/>
        <w:jc w:val="center"/>
        <w:rPr>
          <w:b/>
          <w:bCs/>
        </w:rPr>
      </w:pPr>
      <w:r>
        <w:rPr>
          <w:rFonts w:hint="eastAsia"/>
          <w:b/>
          <w:bCs/>
        </w:rPr>
        <w:t>第五节</w:t>
      </w:r>
      <w:r>
        <w:rPr>
          <w:rFonts w:hint="eastAsia"/>
        </w:rPr>
        <w:t xml:space="preserve"> </w:t>
      </w:r>
      <w:r>
        <w:rPr>
          <w:rFonts w:hint="eastAsia"/>
          <w:b/>
          <w:bCs/>
        </w:rPr>
        <w:t>繁荣文艺精品创作</w:t>
      </w:r>
    </w:p>
    <w:p>
      <w:pPr>
        <w:ind w:firstLine="640"/>
      </w:pPr>
      <w:r>
        <w:rPr>
          <w:rFonts w:hint="eastAsia"/>
        </w:rPr>
        <w:t>坚持社会主义先进文化前进方向，大力弘扬社会主义核心价值观，加大对原创文学艺术作品创作的扶持力度，着重抓好小说、音乐、美术、舞蹈、书法、摄影等文艺作品创作，并结合水城红色文化以及少数民族文化等元素，创作一批反映长征精神、新时代贵州精神、“三变”精神、水城人民感党恩跟党走等系列文艺作品，全力冲刺国家、省、市奖项，推动文艺创作高质量发展。</w:t>
      </w:r>
    </w:p>
    <w:p>
      <w:pPr>
        <w:ind w:firstLine="0" w:firstLineChars="0"/>
        <w:jc w:val="center"/>
        <w:rPr>
          <w:b/>
          <w:bCs/>
        </w:rPr>
      </w:pPr>
      <w:r>
        <w:rPr>
          <w:rFonts w:hint="eastAsia"/>
          <w:b/>
          <w:bCs/>
        </w:rPr>
        <w:t>第六节 开展文化品牌创建活动</w:t>
      </w:r>
    </w:p>
    <w:p>
      <w:pPr>
        <w:ind w:firstLine="640"/>
      </w:pPr>
      <w:r>
        <w:rPr>
          <w:rFonts w:hint="eastAsia"/>
        </w:rPr>
        <w:t>持续办好“百姓大舞台</w:t>
      </w:r>
      <w:r>
        <w:rPr>
          <w:rFonts w:hint="eastAsia" w:ascii="微软雅黑" w:hAnsi="微软雅黑" w:eastAsia="微软雅黑" w:cs="方正小标宋简体"/>
        </w:rPr>
        <w:t>∙</w:t>
      </w:r>
      <w:r>
        <w:rPr>
          <w:rFonts w:hint="eastAsia"/>
        </w:rPr>
        <w:t>放歌中国梦”群众文化活动以及海坪彝族火把节、陡箐苗族花坡节、百车河水车节、米箩布依六月六、龙场白族文化（茶文化）艺术节等水城品牌文化活动，同时，结合现代文化元素，在景区景点持续开展丰富多彩的文化艺术节，鼓励各乡镇、街道以及村（居、社区）举办富有本地特色的文化节日活动。力争在“十四五”期间，水城区打造一项由文化和旅游部命名的品牌文化活动。努力把水城彝族火把节打造成全国知名文化品牌，把苗族跳花节、白族文化节、布依风情节等打造成全省知名文化品牌。</w:t>
      </w:r>
    </w:p>
    <w:p>
      <w:pPr>
        <w:ind w:firstLine="0" w:firstLineChars="0"/>
        <w:jc w:val="center"/>
        <w:rPr>
          <w:b/>
          <w:bCs/>
        </w:rPr>
      </w:pPr>
      <w:r>
        <w:rPr>
          <w:rFonts w:hint="eastAsia"/>
          <w:b/>
          <w:bCs/>
        </w:rPr>
        <w:t>第七节 做好文化保护传承</w:t>
      </w:r>
    </w:p>
    <w:p>
      <w:pPr>
        <w:spacing w:after="120"/>
        <w:ind w:firstLine="640"/>
      </w:pPr>
      <w:r>
        <w:rPr>
          <w:rFonts w:hint="eastAsia"/>
        </w:rPr>
        <w:t>加强民族特色文化和重要革命遗址保护、挖掘和开发利用力度。积极参与长征国家文化公园建设，加快红色产品开发，推动长征红色文化与全域旅游深度融合。继续做好文物保护单位的“四有”工作，抓好重点文物修缮保护工作。开展民族民间文艺非遗的抢救与保护、开展大面积的文化普查，将民族民间艺术、非遗采集整理成音频、视频、书籍等。深入挖掘和传承红色文化、“三线”文化、“三变”文化、民族文化、传统文化、山地文化、生态文化，加大非遗工坊建设，挖掘和开发一批非遗产品，推动水城农民画、彝族服饰、布依族五等装、水城陡箐苗族芦笙演奏等民族优秀传统文化保护和传承。继续开展非遗项目和传承人数据库建设和数字化管理。推进天门布依族、陡箐坪箐苗族等民族特色文化村寨建设。</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40</w:t>
            </w:r>
            <w:r>
              <w:rPr>
                <w:rFonts w:hint="eastAsia" w:ascii="楷体" w:hAnsi="楷体" w:eastAsia="楷体"/>
                <w:sz w:val="26"/>
                <w:szCs w:val="26"/>
              </w:rPr>
              <w:t xml:space="preserve"> 公共文化服务重点项目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27" w:type="dxa"/>
          </w:tcPr>
          <w:p>
            <w:pPr>
              <w:spacing w:before="60" w:line="280" w:lineRule="exact"/>
              <w:ind w:firstLine="420"/>
              <w:rPr>
                <w:rFonts w:ascii="楷体_GB2312" w:eastAsia="楷体_GB2312"/>
                <w:sz w:val="21"/>
                <w:szCs w:val="21"/>
              </w:rPr>
            </w:pPr>
            <w:r>
              <w:rPr>
                <w:rFonts w:hint="eastAsia" w:ascii="楷体_GB2312" w:eastAsia="楷体_GB2312"/>
                <w:sz w:val="21"/>
                <w:szCs w:val="21"/>
              </w:rPr>
              <w:t>重点推进30个乡（镇、街道）所辖村（居）社区文化活动广场建设，水城非物质文化遗产保护展示馆建设，猴场乡布依族文化展示馆建设，打造集非遗演出、传习、体验于一体的综合性非遗场馆。</w:t>
            </w:r>
          </w:p>
        </w:tc>
      </w:tr>
    </w:tbl>
    <w:p>
      <w:pPr>
        <w:pStyle w:val="6"/>
        <w:spacing w:before="222"/>
      </w:pPr>
      <w:bookmarkStart w:id="116" w:name="_Toc63250097"/>
      <w:r>
        <w:rPr>
          <w:rFonts w:hint="eastAsia"/>
        </w:rPr>
        <w:t>第四十三章 大力推进文化产业发展</w:t>
      </w:r>
      <w:bookmarkEnd w:id="116"/>
    </w:p>
    <w:p>
      <w:pPr>
        <w:ind w:firstLine="640"/>
      </w:pPr>
      <w:r>
        <w:rPr>
          <w:rFonts w:hint="eastAsia"/>
        </w:rPr>
        <w:t>坚持把社会效益放在首位、社会效益和经济效益相统一，积极构建完善的现代文化产业体系和市场体系。推动文化产业繁荣发展，深化文化体制改革，构建完善现代文化产业体系和市场体系，大力推动文化与旅游、体育等相关产业融合，不断壮大文化产业的整体实力和竞争力。到2</w:t>
      </w:r>
      <w:r>
        <w:t>025</w:t>
      </w:r>
      <w:r>
        <w:rPr>
          <w:rFonts w:hint="eastAsia"/>
        </w:rPr>
        <w:t>年，全区实现文化产值16亿元。</w:t>
      </w:r>
    </w:p>
    <w:p>
      <w:pPr>
        <w:ind w:firstLine="640"/>
      </w:pPr>
      <w:r>
        <w:rPr>
          <w:rFonts w:hint="eastAsia"/>
        </w:rPr>
        <w:t>组织成立水城区演艺集团公司，大力发展民族演艺、音乐、工艺、节庆、出版、广播影视等特色文化产业，促进文化艺术、广播影视、新闻出版、休闲娱乐等传统文化产业提质增效，培育扶持数字出版、绿色印刷、互联网新媒体、动漫游戏等新兴文化产业。充分利用“彝族火把节”、“布依族六月六”、“白族文化（茶文化）艺术节”、“苗族花坡节”等民族民间文化活动平台，促进文化对外交流与合作。</w:t>
      </w:r>
    </w:p>
    <w:p>
      <w:pPr>
        <w:ind w:firstLine="640"/>
      </w:pPr>
      <w:r>
        <w:rPr>
          <w:rFonts w:hint="eastAsia"/>
        </w:rPr>
        <w:t>打造水城农特产品、乡愁产品、旅游文化产品经济带。在城区打造一条集农民画展示、非遗体验、文化研学、演艺演出、文艺展览为一体的特色文化街区，同时，在景区景点、重点乡镇（街道）建设一批特色文旅融合街区，促进文旅融合发展。</w:t>
      </w:r>
    </w:p>
    <w:p>
      <w:pPr>
        <w:spacing w:after="120"/>
        <w:ind w:firstLine="640"/>
      </w:pPr>
      <w:r>
        <w:rPr>
          <w:rFonts w:hint="eastAsia"/>
        </w:rPr>
        <w:t>大力实施“文化</w:t>
      </w:r>
      <w:r>
        <w:t>+”融合发展战略，用水城特色鲜明的民族文化元素赋予特色农产品、工业制造品、旅游休闲产品丰富内涵，提升品牌竞争力和产品附加值。加快“文化+地产”</w:t>
      </w:r>
      <w:r>
        <w:rPr>
          <w:rFonts w:hint="eastAsia"/>
        </w:rPr>
        <w:t>、</w:t>
      </w:r>
      <w:r>
        <w:t>“文化+大数据”等领域的深度融合发展，继续推进以朵影视城建设，启动建设水城区特色文化创意产业园。大力推动“文化+旅游”</w:t>
      </w:r>
      <w:r>
        <w:rPr>
          <w:rFonts w:hint="eastAsia"/>
        </w:rPr>
        <w:t>、</w:t>
      </w:r>
      <w:r>
        <w:t>“文化+体育”等产业融合发展，建设北盘江体育旅游带，打造国际山地体育运动基地，全面提升“中国凉都</w:t>
      </w:r>
      <w:r>
        <w:rPr>
          <w:rFonts w:hint="eastAsia" w:ascii="微软雅黑" w:hAnsi="微软雅黑" w:eastAsia="微软雅黑"/>
        </w:rPr>
        <w:t>∙</w:t>
      </w:r>
      <w:r>
        <w:rPr>
          <w:rFonts w:hint="eastAsia"/>
          <w:lang w:eastAsia="zh-CN"/>
        </w:rPr>
        <w:t>康养水城</w:t>
      </w:r>
      <w:r>
        <w:t>”文化旅游品牌。</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41</w:t>
            </w:r>
            <w:r>
              <w:rPr>
                <w:rFonts w:hint="eastAsia" w:ascii="楷体" w:hAnsi="楷体" w:eastAsia="楷体"/>
                <w:sz w:val="26"/>
                <w:szCs w:val="26"/>
              </w:rPr>
              <w:t xml:space="preserve"> 文化产业重点项目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历史文化保护与传承</w:t>
            </w:r>
          </w:p>
          <w:p>
            <w:pPr>
              <w:spacing w:before="60" w:line="280" w:lineRule="exact"/>
              <w:ind w:firstLine="420"/>
              <w:rPr>
                <w:rFonts w:ascii="楷体" w:hAnsi="楷体" w:eastAsia="楷体"/>
                <w:sz w:val="26"/>
                <w:szCs w:val="26"/>
              </w:rPr>
            </w:pPr>
            <w:r>
              <w:rPr>
                <w:rFonts w:hint="eastAsia" w:ascii="楷体_GB2312" w:eastAsia="楷体_GB2312"/>
                <w:sz w:val="21"/>
                <w:szCs w:val="21"/>
              </w:rPr>
              <w:t>推动保护与传承水城农民画、彝族服饰、布依族五等装、水城陡箐苗族芦笙演奏等文化遗产。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文艺作品展示</w:t>
            </w:r>
          </w:p>
          <w:p>
            <w:pPr>
              <w:spacing w:line="280" w:lineRule="exact"/>
              <w:ind w:firstLine="420"/>
              <w:rPr>
                <w:rFonts w:ascii="楷体" w:hAnsi="楷体" w:eastAsia="楷体"/>
                <w:sz w:val="26"/>
                <w:szCs w:val="26"/>
              </w:rPr>
            </w:pPr>
            <w:r>
              <w:rPr>
                <w:rFonts w:hint="eastAsia" w:ascii="楷体_GB2312" w:eastAsia="楷体_GB2312"/>
                <w:sz w:val="21"/>
                <w:szCs w:val="21"/>
              </w:rPr>
              <w:t>创作一批反映长征精神、“三变”精神、新时代贵州精神的现实题材文艺作品。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文化产业集聚区提升工程</w:t>
            </w:r>
          </w:p>
          <w:p>
            <w:pPr>
              <w:spacing w:line="280" w:lineRule="exact"/>
              <w:ind w:firstLine="420"/>
              <w:rPr>
                <w:rFonts w:ascii="楷体" w:hAnsi="楷体" w:eastAsia="楷体"/>
                <w:sz w:val="26"/>
                <w:szCs w:val="26"/>
              </w:rPr>
            </w:pPr>
            <w:r>
              <w:rPr>
                <w:rFonts w:hint="eastAsia" w:ascii="楷体_GB2312" w:eastAsia="楷体_GB2312"/>
                <w:sz w:val="21"/>
                <w:szCs w:val="21"/>
              </w:rPr>
              <w:t>重点推进水城野玉海文化旅游聚集区、水城百车河文创旅游集聚区等提升工程。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“三线”文化建设</w:t>
            </w:r>
          </w:p>
          <w:p>
            <w:pPr>
              <w:spacing w:line="280" w:lineRule="exact"/>
              <w:ind w:firstLine="420"/>
              <w:rPr>
                <w:sz w:val="28"/>
                <w:szCs w:val="28"/>
              </w:rPr>
            </w:pPr>
            <w:r>
              <w:rPr>
                <w:rFonts w:hint="eastAsia" w:ascii="楷体_GB2312" w:eastAsia="楷体_GB2312"/>
                <w:sz w:val="21"/>
                <w:szCs w:val="21"/>
              </w:rPr>
              <w:t>打造水城经开区“三线”文化产业园。</w:t>
            </w:r>
          </w:p>
        </w:tc>
      </w:tr>
    </w:tbl>
    <w:p>
      <w:pPr>
        <w:pStyle w:val="5"/>
      </w:pPr>
      <w:r>
        <w:br w:type="page"/>
      </w:r>
    </w:p>
    <w:p>
      <w:pPr>
        <w:pStyle w:val="5"/>
      </w:pPr>
      <w:bookmarkStart w:id="117" w:name="_Toc63250098"/>
      <w:r>
        <w:rPr>
          <w:rFonts w:hint="eastAsia"/>
        </w:rPr>
        <w:t>第十二篇 全面推动改革系统集成，激发高质量发展活力动力</w:t>
      </w:r>
      <w:bookmarkEnd w:id="117"/>
    </w:p>
    <w:p>
      <w:pPr>
        <w:ind w:firstLine="640"/>
      </w:pPr>
      <w:r>
        <w:rPr>
          <w:rFonts w:hint="eastAsia"/>
        </w:rPr>
        <w:t>坚持发挥改革的突破和先导作用，更加注重改革的系统性、整体性、协同性，推动有效市场和有为政府更好结合，全力推进</w:t>
      </w:r>
      <w:r>
        <w:t>“放管服”改革迭代升级</w:t>
      </w:r>
      <w:r>
        <w:rPr>
          <w:rFonts w:hint="eastAsia"/>
        </w:rPr>
        <w:t>，着力营造一流营商环境，激发市场主体活力，汇聚各方力量助推水城高质量发展。</w:t>
      </w:r>
    </w:p>
    <w:p>
      <w:pPr>
        <w:pStyle w:val="6"/>
        <w:spacing w:before="222"/>
      </w:pPr>
      <w:bookmarkStart w:id="118" w:name="_Toc63250099"/>
      <w:r>
        <w:rPr>
          <w:rFonts w:hint="eastAsia"/>
        </w:rPr>
        <w:t>第四十四章 深化农村综合改革</w:t>
      </w:r>
      <w:bookmarkEnd w:id="118"/>
    </w:p>
    <w:p>
      <w:pPr>
        <w:ind w:firstLine="640"/>
      </w:pPr>
      <w:r>
        <w:rPr>
          <w:rFonts w:hint="eastAsia"/>
        </w:rPr>
        <w:t>深入推进农业供给侧结构性改革。深化全国农村改革试验区建设，全力打造新时代“三变”改革升级版。深化农村土地制度改革，落实第二轮土地承包到期后再延长</w:t>
      </w:r>
      <w:r>
        <w:t>30年的政策，探索承包地“三权分置”多种实现形式。深化农村集体产权制度改革，深入实施农村集体经济振兴计划，提升“三变”改革经营主体质量和效益。推进新一轮农村宅基地制度改革试点，积极探索宅基地所有权、资格权、使用权分置实现形式。保障进城落户农民土地承包权、宅基地使用权、集体收益分配权，鼓励依法自愿有偿转让。健全城乡统一的建设用地市场，积极探索实施农村</w:t>
      </w:r>
      <w:r>
        <w:rPr>
          <w:rFonts w:hint="eastAsia"/>
        </w:rPr>
        <w:t>集体经营性建设用地入市制度。健全农村公共基础设施管护体制机制。推进供销社改革。深化农业综合行政执法改革。</w:t>
      </w:r>
    </w:p>
    <w:p>
      <w:pPr>
        <w:pStyle w:val="6"/>
        <w:spacing w:before="222"/>
      </w:pPr>
      <w:bookmarkStart w:id="119" w:name="_Toc63250100"/>
      <w:r>
        <w:rPr>
          <w:rFonts w:hint="eastAsia"/>
        </w:rPr>
        <w:t>第四十五章 深化要素市场化配置改革</w:t>
      </w:r>
      <w:bookmarkEnd w:id="119"/>
    </w:p>
    <w:p>
      <w:pPr>
        <w:ind w:firstLine="640"/>
      </w:pPr>
      <w:r>
        <w:rPr>
          <w:rFonts w:hint="eastAsia"/>
        </w:rPr>
        <w:t>深化要素市场化配置改革，推进要素市场制度建设，充分发挥市场在资源配置中的决定性作用，加快建设统一开放、竞争有序的市场体系，优化土地、劳动力、资本、技术、数据、价格等要素配置，促进要素自主有序流动，提高要素配置效率，有力激发社会创造力和市场活力。</w:t>
      </w:r>
    </w:p>
    <w:p>
      <w:pPr>
        <w:ind w:firstLine="0" w:firstLineChars="0"/>
        <w:jc w:val="center"/>
        <w:rPr>
          <w:b/>
          <w:bCs/>
        </w:rPr>
      </w:pPr>
      <w:r>
        <w:rPr>
          <w:rFonts w:hint="eastAsia"/>
          <w:b/>
          <w:bCs/>
        </w:rPr>
        <w:t>第一节 培育发展统一开放的要素市场</w:t>
      </w:r>
    </w:p>
    <w:p>
      <w:pPr>
        <w:ind w:firstLine="640"/>
      </w:pPr>
      <w:r>
        <w:rPr>
          <w:rFonts w:hint="eastAsia"/>
        </w:rPr>
        <w:t>深化土地要素、资本要素市场化配置，建立健全城乡统一的建设用地市场。</w:t>
      </w:r>
    </w:p>
    <w:p>
      <w:pPr>
        <w:ind w:firstLine="640"/>
      </w:pPr>
      <w:r>
        <w:rPr>
          <w:rFonts w:hint="eastAsia"/>
        </w:rPr>
        <w:t>建立健全城乡统一的建设用地市场，推进集体经营性建设用地入市，农村集体经营性建设用地的土地所有权人可以依法以出让、出租等方式将集体经营性建设用地交由其他单位或者个人使用，建立公平合理的集体经营性建设用地入市收益分配制度。鼓励盘活存量建设用地，完善建设用地使用权转让、出租、抵押二级市场，加快推进国有存量低效用地再开发利用，在符合规划的前提下，原国有土地使用权人可以通过自主、联营、入股、转让等多种方式对其使用的国有建设用地进行开发改造。完善土地管理体制，加强建设用地年度计划管理，优化不动产登记服务。</w:t>
      </w:r>
    </w:p>
    <w:p>
      <w:pPr>
        <w:ind w:firstLine="640"/>
      </w:pPr>
      <w:r>
        <w:rPr>
          <w:rFonts w:hint="eastAsia"/>
        </w:rPr>
        <w:t>健全统一规范的人力资源市场体系，畅通劳动力和人才社会性流动渠道。畅通劳动力社会性流动渠道，积极支持和鼓励各级各类事业单位面向企业、社会组织公开招聘工作人员，完善人事档案信息管理服务。</w:t>
      </w:r>
    </w:p>
    <w:p>
      <w:pPr>
        <w:ind w:firstLine="640"/>
      </w:pPr>
      <w:r>
        <w:rPr>
          <w:rFonts w:hint="eastAsia"/>
        </w:rPr>
        <w:t>深化农村信用社改革，加快推进农村信用工程建设。加快推进债券市场发展，鼓励和支持企业运用公司债、企业债、可转债、中期票据、短期融资券等多样化债务工具拓宽融资渠道。建立金融支持实体经济的长效机制，增加服务小微企业和民营企业的金融服务供给。增加民营企业和小微企业的金融服务供给，引导金融机构细化落实小微企业贷款尽职免责制度，引导银行信贷资金向小微企业倾斜。</w:t>
      </w:r>
    </w:p>
    <w:p>
      <w:pPr>
        <w:ind w:firstLine="640"/>
      </w:pPr>
      <w:r>
        <w:rPr>
          <w:rFonts w:hint="eastAsia"/>
        </w:rPr>
        <w:t>促进技术要素与资本要素融合发展，积极探索通过天使投资、创业投资、科技保险等方式推动科技成果资本化。培育发展技术转移机构和技术经理人，推进社会化、专业化技术转移机构建设，加强技术经理人等人才队伍建设，提升技术转移服务能力。</w:t>
      </w:r>
    </w:p>
    <w:p>
      <w:pPr>
        <w:ind w:firstLine="0" w:firstLineChars="0"/>
        <w:jc w:val="center"/>
        <w:rPr>
          <w:b/>
          <w:bCs/>
        </w:rPr>
      </w:pPr>
      <w:r>
        <w:rPr>
          <w:rFonts w:hint="eastAsia"/>
          <w:b/>
          <w:bCs/>
        </w:rPr>
        <w:t>第二节 加快价格市场化改革</w:t>
      </w:r>
    </w:p>
    <w:p>
      <w:pPr>
        <w:ind w:firstLine="640"/>
      </w:pPr>
      <w:r>
        <w:rPr>
          <w:rFonts w:hint="eastAsia"/>
        </w:rPr>
        <w:t>完善主要由市场决定要素价格机制。进一步降低产业用电价，对在农村建设的保鲜仓储设施用电实行农业生产用电价格。优化水资源配置，推进水价改革，建立城乡供水一体化管理体系。清理规范水电气等公用事业行业收费，实现清费顺价、价费清晰、权责相符，促进公用事业属性合理定位。进一步完善价格听证制度，完善公交、用水、用电、用气阶梯价格制度。健全教育、文化、养老、殡葬等公益性服务价格体系。营利性民办学校实现自主定价，消除制约教育消费的体制机制障碍。加强要素价格管理和监督，构建要素价格公示和动态监测预警体系，逐步建立要素价格调查和信息发布制度。完善要素市场价格异常波动调节机制，依法查处不正当竞争、行政垄断、市场垄断等限制竞争类案件及价格违法行为。</w:t>
      </w:r>
    </w:p>
    <w:p>
      <w:pPr>
        <w:ind w:firstLine="640"/>
      </w:pPr>
      <w:r>
        <w:rPr>
          <w:rFonts w:hint="eastAsia"/>
        </w:rPr>
        <w:t>持续深入推进电力市场化改革，加快园区增量配电网建设。重点推进水城经开区增量配电业务改革试点建设，支持发耳电厂与煤矿企业大比例持股的煤电联营模式，支持产业园区组建第三方配售电公司，探索清洁能源和新能源发电参与市场化交易机制，大工业用电实现电力直接交易，形成地方电价优势。</w:t>
      </w:r>
    </w:p>
    <w:p>
      <w:pPr>
        <w:ind w:firstLine="0" w:firstLineChars="0"/>
        <w:jc w:val="center"/>
        <w:rPr>
          <w:b/>
          <w:bCs/>
        </w:rPr>
      </w:pPr>
      <w:r>
        <w:rPr>
          <w:rFonts w:hint="eastAsia"/>
          <w:b/>
          <w:bCs/>
        </w:rPr>
        <w:t>第三节 推进自然资产产权制度改革</w:t>
      </w:r>
    </w:p>
    <w:p>
      <w:pPr>
        <w:ind w:firstLine="640"/>
      </w:pPr>
      <w:r>
        <w:rPr>
          <w:rFonts w:hint="eastAsia"/>
        </w:rPr>
        <w:t>推进自然资源产权制度改革，完善自然资源资产有偿使用制度和收益管理制度。对水资源、森林、山岭、草原、荒地、滩涂以及探明储量的矿产资源等自然资源统一进行确权登记，界定全部国土空间各类自然资源资产的所有权主体，明确自然资源所有权、使用权等产权归属关系和权责，合理设置全民所有自然资源资产收益分配比例和支出结构。健全排污权、碳排放权、水权、林权等市场化交易体制机制。深化矿产资源管理制度改革，规范矿业权进入公共资源交易中心上网交易，严格控制矿业权协议出让，除协议出让外，全面推行矿业权招拍挂出让制度。搭建自然资源市场交易平台，完善公共资源交易市场服务和监管体系，实现公共资源交易“应进必进”。</w:t>
      </w:r>
    </w:p>
    <w:p>
      <w:pPr>
        <w:pStyle w:val="6"/>
        <w:spacing w:before="222"/>
      </w:pPr>
      <w:bookmarkStart w:id="120" w:name="_Toc63250101"/>
      <w:r>
        <w:rPr>
          <w:rFonts w:hint="eastAsia"/>
        </w:rPr>
        <w:t>第四十六章 激发市场主体活力</w:t>
      </w:r>
      <w:bookmarkEnd w:id="120"/>
    </w:p>
    <w:p>
      <w:pPr>
        <w:ind w:firstLine="640"/>
      </w:pPr>
      <w:r>
        <w:rPr>
          <w:rFonts w:hint="eastAsia"/>
        </w:rPr>
        <w:t>巩固和发展公有制经济，鼓励、支持、引导非公有制经济发展，探索公有制多种实现形式，发展壮大民营经济，培育更多充满活力的市场主体。深入实施国企改革三年行动计划，推动国有资本向重要行业和关键领域集中。</w:t>
      </w:r>
    </w:p>
    <w:p>
      <w:pPr>
        <w:spacing w:line="570" w:lineRule="exact"/>
        <w:ind w:firstLine="0" w:firstLineChars="0"/>
        <w:jc w:val="center"/>
        <w:rPr>
          <w:b/>
          <w:bCs/>
        </w:rPr>
      </w:pPr>
      <w:r>
        <w:rPr>
          <w:rFonts w:hint="eastAsia"/>
          <w:b/>
          <w:bCs/>
        </w:rPr>
        <w:t>第一节 深化国资国企改革</w:t>
      </w:r>
    </w:p>
    <w:p>
      <w:pPr>
        <w:spacing w:line="570" w:lineRule="exact"/>
        <w:ind w:firstLine="640"/>
      </w:pPr>
      <w:r>
        <w:rPr>
          <w:rFonts w:hint="eastAsia"/>
        </w:rPr>
        <w:t>深入实施国企改革三年行动计划，推动国有企业整合重组，发挥国有经济战略支撑作用，做大做强做优国有资本和国有企业。分类推进国有企业改革，突出功能划分国有企业类别，有序推进公益类、商业一类、商业二类国有企业改革。推进国有企业公司制股份制改革，健全完善法人治理结构，完善国有企业领导人员管理体制，深化企业内部用人制度改革。完善以管资本为主的国有资产管理制度和国有企业多渠道资本补充机制，推进政府投融资平台公司实体化转型。稳妥推动国有企业发展混合所有制经济，鼓励国有资本与非国有资本双向投资，谨慎稳妥开展混合所有制企业骨干员工持股。完善国有企业改制退出配套政策，加快国有“僵尸”企业处置和特困企业治理。推进国有资产监管机构职能转变，改革国有资本授权经营体制，推进经营性国有资产集中统一监管，强化国有企业内部监督，建立完善企业追责问责和容错机制。</w:t>
      </w:r>
    </w:p>
    <w:p>
      <w:pPr>
        <w:spacing w:line="570" w:lineRule="exact"/>
        <w:ind w:firstLine="640"/>
      </w:pPr>
      <w:r>
        <w:rPr>
          <w:rFonts w:hint="eastAsia"/>
        </w:rPr>
        <w:t>聚焦龙头企业加强要素保障，促进上下游产业、生产销售和供应，以及大中小企业的整体配套。推进政府数据开放共享及交换，借助六盘水市数据共享责任清单的建立，构建自身农业、工业、交通等领域规范化数据开发利用的场景。提升社会数据资源价值，培育数字经济新产业。建设重要产品追溯体系，健全以信用为基础的新型监管机制。</w:t>
      </w:r>
    </w:p>
    <w:p>
      <w:pPr>
        <w:spacing w:line="570" w:lineRule="exact"/>
        <w:ind w:firstLine="0" w:firstLineChars="0"/>
        <w:jc w:val="center"/>
        <w:rPr>
          <w:b/>
          <w:bCs/>
        </w:rPr>
      </w:pPr>
      <w:r>
        <w:rPr>
          <w:rFonts w:hint="eastAsia"/>
          <w:b/>
          <w:bCs/>
        </w:rPr>
        <w:t>第二节 加快发展非公有制经济</w:t>
      </w:r>
    </w:p>
    <w:p>
      <w:pPr>
        <w:spacing w:line="570" w:lineRule="exact"/>
        <w:ind w:firstLine="640"/>
      </w:pPr>
      <w:r>
        <w:rPr>
          <w:rFonts w:hint="eastAsia"/>
        </w:rPr>
        <w:t>鼓励、支持、引导各类企业发展，激发非公有制经济活力和创造力。优化民营经济发展环境，在基础设施、社会事业等领域破除制约民营企业发展的各种壁垒，鼓励民营企业依法进入更多领域，支持民营企业大发展。加强企业家人才队伍建设，促进非公有制经济健康发展和非公有制经济人士健康成长，依法平等保护民营企业产权和企业家权益。鼓励支持民营企业建立规范的现代企业制度，提升企业经营管理水平。支持优强民营企业参与国有企业混合所有制改革，引导规模以上民营工业企业开展增资扩股、并购重组等股份制改造。完善促进中小微企业和个体工商户的体制机制和政策体系。改善面向民营中小企业的金融服务供给，完善民营企业直接融资支持制度。积极保障各类市场主体在政府资金安排、土地供应、税费减免、资质许可、标准制定、项目申报、职称评定、人力资源政策等方面受到平等对待。鼓励民营企业参与新型工业化、新型城镇化、农业现代化、旅游产业化等重大战略实施，支持民营企业进入城镇供水、污水处理等领域和以参股形式开展基础电信运营业务。</w:t>
      </w:r>
    </w:p>
    <w:p>
      <w:pPr>
        <w:spacing w:line="570" w:lineRule="exact"/>
        <w:ind w:firstLine="640"/>
      </w:pPr>
      <w:r>
        <w:rPr>
          <w:rFonts w:hint="eastAsia"/>
        </w:rPr>
        <w:t>进一步加大助企扶困的力度，落实已经出台的财税、金融、社保、用工、房租等各项政策，降低企业成本。着力打造要素价格合理的劳务市场、技术市场及其他新兴要素市场，形成完善的市场体系。落实好税费优惠政策，减轻企业负担。深化商事制度改革，加强和改善市场监管。</w:t>
      </w:r>
    </w:p>
    <w:p>
      <w:pPr>
        <w:pStyle w:val="6"/>
        <w:spacing w:before="222"/>
      </w:pPr>
      <w:bookmarkStart w:id="121" w:name="_Toc63250102"/>
      <w:r>
        <w:rPr>
          <w:rFonts w:hint="eastAsia"/>
        </w:rPr>
        <w:t>第四十七章 提升金融服务能力</w:t>
      </w:r>
      <w:bookmarkEnd w:id="121"/>
    </w:p>
    <w:p>
      <w:pPr>
        <w:spacing w:line="570" w:lineRule="exact"/>
        <w:ind w:firstLine="640"/>
      </w:pPr>
      <w:r>
        <w:rPr>
          <w:rFonts w:hint="eastAsia"/>
        </w:rPr>
        <w:t>积极加强小微企业和个体工商户融资服务，加快发展现代金融服务业，完成农信社改制，做大做强政策性融资担保公司，规范其他地方金融组织。大力发展绿色金融、普惠金融、科技金融、产业金融，引导金融机构加大对新兴产业、“三农”领域、民生领域、民营经济和小微企业的信贷支持。增加小微企业信用贷款、首贷、无还本续贷。商业银行要优化风险评估机制，注重审核第一还款来源，减少对抵押担保的依赖。在风险可控的前提下，力争实现新发放信用贷款占比显著提高。督促商业银行提高首次从银行体系获得贷款的户数。允许将符合条件的小微企业续贷纳入正常类贷款，鼓励商业银行加大中长期贷款投放力度，充分发挥其经济“减震器”和社会“稳定器”作用。</w:t>
      </w:r>
    </w:p>
    <w:p>
      <w:pPr>
        <w:spacing w:line="570" w:lineRule="exact"/>
        <w:ind w:firstLine="640"/>
      </w:pPr>
      <w:r>
        <w:rPr>
          <w:rFonts w:hint="eastAsia"/>
        </w:rPr>
        <w:t>推进资本市场建设，推动符合条件企业进入多层次资本市场融资发展。完善中小微企业、民营企业的融资担保机制，加强政银企对接合作机制，支持民营企业扩大债券融资、上市融资等直接融资规模。健全完善金融稳定工作协调机制，持续深入开展银行机构不良贷款、互联网金融、交易场所、非法集资等领域的风险排查监测和处置预警，坚决打击各类违法违规金融活动，牢牢守住不发生区域性风险、不引发系统性风险的底线。</w:t>
      </w:r>
    </w:p>
    <w:p>
      <w:pPr>
        <w:pStyle w:val="6"/>
        <w:spacing w:before="222"/>
      </w:pPr>
      <w:bookmarkStart w:id="122" w:name="_Toc63250103"/>
      <w:r>
        <w:rPr>
          <w:rFonts w:hint="eastAsia"/>
        </w:rPr>
        <w:t>第四十八章 加快转变政府职能</w:t>
      </w:r>
      <w:bookmarkEnd w:id="122"/>
    </w:p>
    <w:p>
      <w:pPr>
        <w:ind w:firstLine="640"/>
      </w:pPr>
      <w:r>
        <w:rPr>
          <w:rFonts w:hint="eastAsia"/>
        </w:rPr>
        <w:t>创新政府管理和服务方式，深入推进“放管服”改革，加快推进治理能力和治理体系现代化。</w:t>
      </w:r>
    </w:p>
    <w:p>
      <w:pPr>
        <w:ind w:firstLine="0" w:firstLineChars="0"/>
        <w:jc w:val="center"/>
        <w:rPr>
          <w:b/>
          <w:bCs/>
        </w:rPr>
      </w:pPr>
      <w:r>
        <w:rPr>
          <w:rFonts w:hint="eastAsia"/>
          <w:b/>
          <w:bCs/>
        </w:rPr>
        <w:t>第一节 深化行政审批制度改革</w:t>
      </w:r>
    </w:p>
    <w:p>
      <w:pPr>
        <w:ind w:firstLine="640"/>
      </w:pPr>
      <w:r>
        <w:rPr>
          <w:rFonts w:hint="eastAsia"/>
        </w:rPr>
        <w:t>深入推进简政放权、放管结合、优化服务，全面实行政府权责清单制度，进一步精简行政许可事项，深化商事制度改革，有序推进“证照分离”改革全覆盖，对涉企经营许可事项实行清单管理和分类改革，推动“照后减证”</w:t>
      </w:r>
      <w:r>
        <w:t>和简化审批。推行经营范围规范化登记，做好企业登记注册和许可审批的衔接。推进检验检测机构资质认定审批改革，对检验检测机构资质认定证书实施统一赋码。创新行政管理和服务方式，深入开展“互联网+政务服务”，加快建设完善一体化政务服务平台，全面推行“一网通办”“一站式服务”“一次性办结”，进一步提高行政审批和服务的透明度和便</w:t>
      </w:r>
      <w:r>
        <w:rPr>
          <w:rFonts w:hint="eastAsia"/>
        </w:rPr>
        <w:t>利度。全面实现投资审批事项线上并联办理、企业投资项目备案全程线上办理、投资项目线上核准。全面开展投资审批合法性审查，依法取消无法定依据的审批事项和“红头文件”，严格落实国家出台的投资审批事项清单。推进重大项目投资决策并联审批，推进投资项目承诺制改革，实现一般企业投资项目和一般审批事项承诺制审批。</w:t>
      </w:r>
    </w:p>
    <w:p>
      <w:pPr>
        <w:ind w:firstLine="0" w:firstLineChars="0"/>
        <w:jc w:val="center"/>
      </w:pPr>
      <w:r>
        <w:rPr>
          <w:rFonts w:hint="eastAsia"/>
          <w:b/>
          <w:bCs/>
        </w:rPr>
        <w:t>第二节 深入推进“放管服”改革</w:t>
      </w:r>
    </w:p>
    <w:p>
      <w:pPr>
        <w:ind w:firstLine="640"/>
      </w:pPr>
      <w:r>
        <w:rPr>
          <w:rFonts w:hint="eastAsia"/>
        </w:rPr>
        <w:t>全面落实《优化营商环境条例》系列要求，提升网上政务服务能力，优化网上申报便利度，为办事人员和审批人员双减负。加快建设区镇村三级公共服务平台，积极探索增强简政放权、放管结合、优化服务的新方式，全面提升行政服务和行政审批的便民度。全面实行权责清单制度，实施涉企经营许可事项清单管理，提高行政审批和服务的透明度和便利度。实现各项业务就近能办、多点可办、少跑快办，联通乡村两级视频监控系统，协助镇（街道）、经开区、各村（社区）提升便民服务中心标准化规范化水平。政务中心在前期推进“一窗受理、一网通办”的基础上，</w:t>
      </w:r>
      <w:r>
        <w:t>3个工作日完成企业开办全部所需手续，尽可能压缩办事时限，尽力减少证明，提升服务效能。</w:t>
      </w:r>
      <w:r>
        <w:rPr>
          <w:rFonts w:hint="eastAsia"/>
        </w:rPr>
        <w:t>实施高标准市场体系建设行动，健全公平竞争审查机制，提升市场综合监管能力。推进市场监管制度化、规范化、程序化，创新监管机制和监管方式，积极运用信息化手段推进智能监管，提高监管效能。健全重大政策事前评估和事后评价制度，畅通参与政策制定的渠道，提高决策科学化、民主化、法治化水平。深化行业协会、商会和中介机构改革。优化招商引资机制，推进依法招商，提升招商质量效益。</w:t>
      </w:r>
    </w:p>
    <w:p>
      <w:pPr>
        <w:pStyle w:val="6"/>
        <w:spacing w:before="222"/>
      </w:pPr>
      <w:bookmarkStart w:id="123" w:name="_Toc63250104"/>
      <w:r>
        <w:rPr>
          <w:rFonts w:hint="eastAsia"/>
        </w:rPr>
        <w:t>第四十九章 全面优化营商环境</w:t>
      </w:r>
      <w:bookmarkEnd w:id="123"/>
    </w:p>
    <w:p>
      <w:pPr>
        <w:ind w:firstLine="640"/>
      </w:pPr>
      <w:r>
        <w:rPr>
          <w:rFonts w:hint="eastAsia"/>
        </w:rPr>
        <w:t>持续开展营商环境大提升行动，大力优化市场化法治化营商环境，打造服务和效率高于周边、成本和负担低于周边的国内一流营商环境。</w:t>
      </w:r>
    </w:p>
    <w:p>
      <w:pPr>
        <w:ind w:firstLine="640"/>
      </w:pPr>
      <w:r>
        <w:rPr>
          <w:rFonts w:hint="eastAsia"/>
        </w:rPr>
        <w:t>落实减税降费，优化企业发展环境，清理和规范行政事业性收费。合理设置企业运营过程中公章刻制、涉税事项办理、不动产登记及施工许可证受理等涉企收费价格。进一步降低企业用地成本，土地政策向水城区优先发展产业倾斜。在企业纳税过程中，重点监测综合税收负担率，确保企业纳税负担在相对合理的区间。</w:t>
      </w:r>
    </w:p>
    <w:p>
      <w:pPr>
        <w:ind w:firstLine="640"/>
      </w:pPr>
      <w:r>
        <w:rPr>
          <w:rFonts w:hint="eastAsia"/>
        </w:rPr>
        <w:t>持续推进政务诚信、商务诚信、社会诚信和司法公信建设。将政务履约和守诺服务纳入政府绩效评价体系，建立政务失信记录，健全政府失信责任追究制度和责任倒查制度，加大对政务失信行为惩戒力度。健全社会共治机制，推动企业自治行业自律，加快推进行业协会商会成立独立公正的中介服务组织，推动形成企业与政府部门信息共享、举报投诉渠道畅通和调节机制完善的良好局面。</w:t>
      </w:r>
    </w:p>
    <w:p>
      <w:pPr>
        <w:ind w:firstLine="640"/>
      </w:pPr>
      <w:r>
        <w:rPr>
          <w:rFonts w:hint="eastAsia"/>
        </w:rPr>
        <w:t>政府部门进一步增强服务意识，切实转变工作作风，为市场主体提供规范、便利、高效的政务服务。最大限度减少政府对市场资源的直接配置和对市场活动的直接干预，更大激发市场活力和社会创造力，增强发展动力。</w:t>
      </w:r>
    </w:p>
    <w:p>
      <w:pPr>
        <w:spacing w:line="570" w:lineRule="exact"/>
        <w:ind w:firstLine="640"/>
      </w:pPr>
      <w:r>
        <w:br w:type="page"/>
      </w:r>
    </w:p>
    <w:p>
      <w:pPr>
        <w:pStyle w:val="5"/>
      </w:pPr>
      <w:bookmarkStart w:id="124" w:name="_Toc63250105"/>
      <w:r>
        <w:rPr>
          <w:rFonts w:hint="eastAsia"/>
        </w:rPr>
        <w:t>第十三篇 全面构建公共服务体系，高质量保障和改善民生福祉</w:t>
      </w:r>
      <w:bookmarkEnd w:id="124"/>
    </w:p>
    <w:p>
      <w:pPr>
        <w:ind w:firstLine="640"/>
      </w:pPr>
      <w:r>
        <w:rPr>
          <w:rFonts w:hint="eastAsia"/>
        </w:rPr>
        <w:t>坚持贯彻以人民为中心的发展思想，坚持共建共享共治共融原则，以满足人民日益增长的美好生活需要为根本目的，不断健全基本公共服务体系，织密织牢</w:t>
      </w:r>
      <w:r>
        <w:rPr>
          <w:rFonts w:hint="eastAsia"/>
          <w:lang w:eastAsia="zh-CN"/>
        </w:rPr>
        <w:t>康养水城</w:t>
      </w:r>
      <w:r>
        <w:rPr>
          <w:rFonts w:hint="eastAsia"/>
        </w:rPr>
        <w:t>幸福网络，确保基本公共服务覆盖全民、兜住底线、均等享有，不断增强人民群众获得感、幸福感、安全感。让全区人民共享改革发展成果，更好满足人民群众对美好生活的需要，打造全省全市民生幸福新标杆。</w:t>
      </w:r>
    </w:p>
    <w:p>
      <w:pPr>
        <w:pStyle w:val="6"/>
        <w:spacing w:before="222"/>
      </w:pPr>
      <w:bookmarkStart w:id="125" w:name="_Toc63250106"/>
      <w:r>
        <w:rPr>
          <w:rFonts w:hint="eastAsia"/>
        </w:rPr>
        <w:t>第五十章 提升城乡居民收入水平</w:t>
      </w:r>
      <w:bookmarkEnd w:id="125"/>
    </w:p>
    <w:p>
      <w:pPr>
        <w:ind w:firstLine="640"/>
      </w:pPr>
      <w:r>
        <w:rPr>
          <w:rFonts w:hint="eastAsia"/>
        </w:rPr>
        <w:t>实施城乡居民增收计划，千方百计拓宽居民增收渠道，进一步深化收入分配体制改革，努力缩小城乡居民收入差距。提高劳动报酬在初次分配中的比重，实现劳动报酬与劳动生产率同步提高。加大收入分配领域改革力度，着力提高低收入群体收入，扩大中等收入群体，提高城乡居民的工资性收入、经营性收入、财产性收入和转移性收入。完善按要素分配政策制度，健全各类生产要素由市场决定报酬的机制，探索通过土地、资本等要素使用权、收益权增加中低收入群体要素收入。健全工资集体协商和企业薪酬调查制度，着力解决拖欠农民工工资问题，提高技术工人待遇，完善机关事业单位工资制度。实行城乡平等的就业服务、用工准入制度。实施机关事业单位工资正常调整机制，探索建立符合行业特点的事业单位岗位绩效工资制度，健全企业工资决定和正常增长机制。完善再分配机制，合理调节过高收入，取缔非法收入。</w:t>
      </w:r>
    </w:p>
    <w:p>
      <w:pPr>
        <w:pStyle w:val="6"/>
        <w:spacing w:before="222"/>
      </w:pPr>
      <w:bookmarkStart w:id="126" w:name="_Toc63250107"/>
      <w:r>
        <w:rPr>
          <w:rFonts w:hint="eastAsia"/>
        </w:rPr>
        <w:t>第五十一章 实现更加充分更高质量就业</w:t>
      </w:r>
      <w:bookmarkEnd w:id="126"/>
    </w:p>
    <w:p>
      <w:pPr>
        <w:spacing w:line="570" w:lineRule="exact"/>
        <w:ind w:firstLine="640"/>
      </w:pPr>
      <w:r>
        <w:rPr>
          <w:rFonts w:hint="eastAsia"/>
        </w:rPr>
        <w:t>强化就业优先政策，围绕实现更高质量和更充分就业的目标，坚持经济发展就业导向，把稳就业、保就业放在更加突出位置，多措并举拓宽就业渠道，提升就业能力。</w:t>
      </w:r>
    </w:p>
    <w:p>
      <w:pPr>
        <w:spacing w:line="570" w:lineRule="exact"/>
        <w:ind w:firstLine="0" w:firstLineChars="0"/>
        <w:jc w:val="center"/>
        <w:rPr>
          <w:b/>
          <w:bCs/>
        </w:rPr>
      </w:pPr>
      <w:r>
        <w:rPr>
          <w:rFonts w:hint="eastAsia"/>
          <w:b/>
          <w:bCs/>
        </w:rPr>
        <w:t>第一节 多渠道扩大就业</w:t>
      </w:r>
    </w:p>
    <w:p>
      <w:pPr>
        <w:ind w:firstLine="640"/>
      </w:pPr>
      <w:r>
        <w:rPr>
          <w:rFonts w:hint="eastAsia"/>
        </w:rPr>
        <w:t>努力稳定和扩大就业，促进失业人员再就业，把稳就业、保就业放在更加突出位置。发展劳动密集型产业，千方百计增加就业岗位。多元化发展新就业形态，支持多渠道灵活就业，引导更多人灵活就业</w:t>
      </w:r>
      <w:bookmarkStart w:id="127" w:name="_Hlk56083882"/>
      <w:r>
        <w:rPr>
          <w:rFonts w:hint="eastAsia"/>
        </w:rPr>
        <w:t>。完善创业扶持政策和激励机制，推动大众创业万众创新，支持双创示范基地、众创空间等孵化器建设，以创业带动就业。大力实施高校毕业生基层成长计划和“雁归兴贵”促进农民工返乡创业就业行动计划，鼓励在外务工人员返乡创业。引导农村劳动力参与农村产业革命、乡村振兴，促进就地就近就业。健全就业公共服务体系、劳动关系协调机制，健全就业需求调查和失业监测预警机制。完善重点群体就业支持体系，促进高校毕业生、农村转移劳动力、就业困难人员、易地搬迁群众、退役军人等重点群体的就业创业。合理合规开发公益性岗位，帮扶残疾人、零就业家庭成员就业。</w:t>
      </w:r>
      <w:bookmarkEnd w:id="127"/>
      <w:r>
        <w:rPr>
          <w:rFonts w:hint="eastAsia"/>
        </w:rPr>
        <w:t>城镇新增就业</w:t>
      </w:r>
      <w:r>
        <w:t>5万人以上，城镇登记失业率控制在4.2%以内。</w:t>
      </w:r>
      <w:r>
        <w:rPr>
          <w:rFonts w:hint="eastAsia"/>
        </w:rPr>
        <w:t>确保“十四五”时期全区就业人员稳定在</w:t>
      </w:r>
      <w:r>
        <w:t>30万人以上。</w:t>
      </w:r>
    </w:p>
    <w:p>
      <w:pPr>
        <w:spacing w:line="570" w:lineRule="exact"/>
        <w:ind w:firstLine="0" w:firstLineChars="0"/>
        <w:jc w:val="center"/>
        <w:rPr>
          <w:b/>
          <w:bCs/>
        </w:rPr>
      </w:pPr>
      <w:r>
        <w:rPr>
          <w:rFonts w:hint="eastAsia"/>
          <w:b/>
          <w:bCs/>
        </w:rPr>
        <w:t>第二节 全面提升劳动力素质</w:t>
      </w:r>
    </w:p>
    <w:p>
      <w:pPr>
        <w:ind w:firstLine="640"/>
      </w:pPr>
      <w:r>
        <w:rPr>
          <w:rFonts w:hint="eastAsia"/>
        </w:rPr>
        <w:t>加快职业教育发展和应用型人才培养，建立面向市场、覆盖城乡的职业培训和技能人才评价政策体系。建立贯穿劳动者职业生涯全过程、适应经济社会发展需求的终身职业技能培训制度。大力实施职业技能提升行动和“制造能手”“种养能人”“经营人才”“贴心天使”“家庭管家”“自强先锋”六大培养工程，全面提升劳动者技能水平。全面提升就业服务水平，保障劳动者待遇和权益，加大劳动者职业技能培训力度，大力实施农民工技能提升行动支持困难企业开展职工在岗培训，促进更高质量、更充分就业。健全就业需求调查和失业监测预警机制，构建和谐劳动关系，全面实施劳动合同制度，健全劳动争议调解制度和仲裁制度，加大劳动保障监察执法力度。</w:t>
      </w:r>
    </w:p>
    <w:p>
      <w:pPr>
        <w:pStyle w:val="6"/>
        <w:spacing w:before="222"/>
      </w:pPr>
      <w:bookmarkStart w:id="128" w:name="_Toc63250108"/>
      <w:r>
        <w:rPr>
          <w:rFonts w:hint="eastAsia"/>
        </w:rPr>
        <w:t>第五十二章 推进教育高质量发展</w:t>
      </w:r>
      <w:bookmarkEnd w:id="128"/>
    </w:p>
    <w:p>
      <w:pPr>
        <w:ind w:firstLine="640"/>
      </w:pPr>
      <w:r>
        <w:rPr>
          <w:rFonts w:hint="eastAsia"/>
        </w:rPr>
        <w:t>坚持立德树人，深入推进教育体制机制改革，全面激发办学活力，实现水城教育高质量发展。</w:t>
      </w:r>
    </w:p>
    <w:p>
      <w:pPr>
        <w:spacing w:line="570" w:lineRule="exact"/>
        <w:ind w:firstLine="0" w:firstLineChars="0"/>
        <w:jc w:val="center"/>
        <w:rPr>
          <w:b/>
          <w:bCs/>
        </w:rPr>
      </w:pPr>
      <w:r>
        <w:rPr>
          <w:rFonts w:hint="eastAsia"/>
          <w:b/>
          <w:bCs/>
        </w:rPr>
        <w:t>第一节 促进基础教育提质增效</w:t>
      </w:r>
    </w:p>
    <w:p>
      <w:pPr>
        <w:ind w:firstLine="640"/>
      </w:pPr>
      <w:r>
        <w:rPr>
          <w:rFonts w:hint="eastAsia"/>
        </w:rPr>
        <w:t>合理配置教育资源，优化提升财政教育经费结构和使用效益，</w:t>
      </w:r>
      <w:bookmarkStart w:id="129" w:name="_Hlk56329297"/>
      <w:r>
        <w:rPr>
          <w:rFonts w:hint="eastAsia"/>
        </w:rPr>
        <w:t>实施乡村振兴战略，按照“补短板、强基础、提质量、促均衡”思路，统筹做好普通高中教育、义务教育及学前教育规划布局，大力推进高中和职业教育示范特色化、义务教育优质均衡化、学前教育普及化发展。到</w:t>
      </w:r>
      <w:r>
        <w:t>2025年，义务教育达到国家优质均衡标准，高中和职业学校切实满足社会经济发展需求。</w:t>
      </w:r>
    </w:p>
    <w:p>
      <w:pPr>
        <w:ind w:firstLine="640"/>
      </w:pPr>
      <w:r>
        <w:rPr>
          <w:rFonts w:hint="eastAsia"/>
        </w:rPr>
        <w:t>建立和完善覆盖城乡、布局合理的学前教育公共服务体系，加强普惠性幼儿园建设，持续推进城镇小区配套幼儿园建设，新建改扩建一批公办幼儿园。以农村为重点提升学前教育普及水平，大力发展公办幼儿园，加快发展普惠性民办幼儿园。常住人口在</w:t>
      </w:r>
      <w:r>
        <w:t>3万人以上的中心乡（镇）办好2所以上公办幼儿园，以大村独立建园或设分园、小村联合办园等方式，</w:t>
      </w:r>
      <w:r>
        <w:rPr>
          <w:rFonts w:hint="eastAsia"/>
        </w:rPr>
        <w:t>重点在常住人口</w:t>
      </w:r>
      <w:r>
        <w:t>2000人以上且有实际需求的村建设公办幼儿园，对于不具备建园条件而又有实际需求的村要充分利用附近公共资源举办学前教育混龄班，实现普惠性学前教育学位基本满足需求</w:t>
      </w:r>
      <w:r>
        <w:rPr>
          <w:rFonts w:hint="eastAsia"/>
        </w:rPr>
        <w:t>。</w:t>
      </w:r>
      <w:r>
        <w:t>构建完善县、乡、村三级学前教育布局网络，整体推进学前教育的标准化和优质化。</w:t>
      </w:r>
      <w:bookmarkStart w:id="130" w:name="_Hlk60737250"/>
      <w:r>
        <w:rPr>
          <w:rFonts w:hint="eastAsia"/>
        </w:rPr>
        <w:t>到</w:t>
      </w:r>
      <w:r>
        <w:t>2025年，</w:t>
      </w:r>
      <w:bookmarkEnd w:id="130"/>
      <w:r>
        <w:t>实现全区学前教育入园率达95%以上</w:t>
      </w:r>
      <w:r>
        <w:rPr>
          <w:rFonts w:hint="eastAsia"/>
        </w:rPr>
        <w:t>。</w:t>
      </w:r>
    </w:p>
    <w:p>
      <w:pPr>
        <w:ind w:firstLine="640"/>
      </w:pPr>
      <w:r>
        <w:rPr>
          <w:rFonts w:hint="eastAsia"/>
        </w:rPr>
        <w:t>推进城乡义务教育一体化发展，加快改善义务教育薄弱学校基本办学条件，深入推进城乡义务教育学校标准化建设，加强寄宿制学校建设，健全控辍保学工作责任体系，全面巩固义务教育基本均衡成果，推进义务教育优质均衡发展。推进城乡义务教育优质均衡发展，在保基本的基础上提供多样化、多层次、可选择的优质特色教育资源。全面推行学区化、集团化、一校制管理办学模式，全面实施素质教育。强化中小学生社会主义核心价值观、学生审美水平、人文素养、体育劳动、安全法制、生态文明等方面教育教学，推进学生德智体美劳全面发展。</w:t>
      </w:r>
    </w:p>
    <w:p>
      <w:pPr>
        <w:ind w:firstLine="640"/>
      </w:pPr>
      <w:r>
        <w:rPr>
          <w:rFonts w:hint="eastAsia"/>
        </w:rPr>
        <w:t>提升高中阶段教育普及水平，扩大高中办学规模，改善办学条件，优化教育资源配置，全面做好新高考改革准备工作，高考教育教学质量大幅提升。探索采取混合制办学模式，全面实施高中学校提质计划，创建</w:t>
      </w:r>
      <w:r>
        <w:t>1所省级示范性普通高中、2所省级特色示范性普通高中。</w:t>
      </w:r>
      <w:r>
        <w:rPr>
          <w:rFonts w:hint="eastAsia"/>
        </w:rPr>
        <w:t>到</w:t>
      </w:r>
      <w:r>
        <w:t>2025年，高中阶段毛入学率达93％以上</w:t>
      </w:r>
      <w:r>
        <w:rPr>
          <w:rFonts w:hint="eastAsia"/>
        </w:rPr>
        <w:t>。力争“十四五”末高考本科上线人数达</w:t>
      </w:r>
      <w:r>
        <w:t>8000人。</w:t>
      </w:r>
    </w:p>
    <w:p>
      <w:pPr>
        <w:ind w:firstLine="640"/>
      </w:pPr>
      <w:r>
        <w:rPr>
          <w:rFonts w:hint="eastAsia"/>
        </w:rPr>
        <w:t>统筹发展其他教育。鼓励各种社会力量办学，制定办学标准和转入条件，对民办学校实行标准化和规范化管理。积极发展满足教育事业，全面提升民族教育质量和水平，推进民族民俗教育进校园工作，着力打造省、市级民族文化办学特色学校。采取随班就读、集中办学、送教上门等方式，高质量普及视力、听力、智力三类残疾儿童义务教育。到</w:t>
      </w:r>
      <w:r>
        <w:t>2025年，“残疾”儿童少年入学率达95％以上。</w:t>
      </w:r>
    </w:p>
    <w:p>
      <w:pPr>
        <w:spacing w:line="570" w:lineRule="exact"/>
        <w:ind w:firstLine="0" w:firstLineChars="0"/>
        <w:jc w:val="center"/>
        <w:rPr>
          <w:b/>
          <w:bCs/>
        </w:rPr>
      </w:pPr>
      <w:r>
        <w:rPr>
          <w:rFonts w:hint="eastAsia"/>
          <w:b/>
          <w:bCs/>
        </w:rPr>
        <w:t>第二节 增强特色化职业教育</w:t>
      </w:r>
    </w:p>
    <w:p>
      <w:pPr>
        <w:ind w:firstLine="640"/>
      </w:pPr>
      <w:r>
        <w:rPr>
          <w:rFonts w:hint="eastAsia"/>
        </w:rPr>
        <w:t>加快发展现代职业教育，完善职业教育和培训体系，落实立德树人根本任务，规范办学管理行为和人才培养全过程。加强同优质职业院校合作，积极开展联合办学，对口帮扶共建专业、提升人才培养质量、师资互派交流、共享教学实训资源，切实提升学校办学水平。推进职业教育特色发展，把水城区职校建成满足上万人办学规模的中高融通、产教融合的现代化职业技术学校。鼓励职业学校积极做好新型职业农民、农村转移劳动力、农村工匠、在职职工等培训，建设知识型、技能型、创新型劳动者队伍。</w:t>
      </w:r>
    </w:p>
    <w:p>
      <w:pPr>
        <w:spacing w:line="570" w:lineRule="exact"/>
        <w:ind w:firstLine="0" w:firstLineChars="0"/>
        <w:jc w:val="center"/>
        <w:rPr>
          <w:b/>
          <w:bCs/>
        </w:rPr>
      </w:pPr>
      <w:r>
        <w:rPr>
          <w:rFonts w:hint="eastAsia"/>
          <w:b/>
          <w:bCs/>
        </w:rPr>
        <w:t>第三节 加强教师队伍建设</w:t>
      </w:r>
    </w:p>
    <w:bookmarkEnd w:id="129"/>
    <w:p>
      <w:pPr>
        <w:ind w:firstLine="640"/>
      </w:pPr>
      <w:r>
        <w:rPr>
          <w:rFonts w:hint="eastAsia"/>
        </w:rPr>
        <w:t>全面贯彻党的教育方针，加强师德师风建设，努力建设一支政治素质过硬、业务能力精湛、育人水平高超的高素质教师队伍。动态管理中小学人员编制，通过人才引进、特岗计划等方式补充教师，加大名师、名校长、名班主任、骨干教师培训培养力度，财政预算内安排的教师培训经费占教师工资总额的比例均达到</w:t>
      </w:r>
      <w:r>
        <w:t>1.5%以上。落实教师师德师风教育和监督检查主体责任，建立教师诚信记录、教师失德查处报告制度、师德舆情快速反应机制，完善诚信承诺和失信惩戒机制。搭建、使用教师持续发展的专业服务平台，实施好教师收入分配制度改革，教师平均工资不低于全区公务</w:t>
      </w:r>
      <w:r>
        <w:rPr>
          <w:rFonts w:hint="eastAsia"/>
        </w:rPr>
        <w:t>员工资平均水平。加大教育名师、高层次人才、“双师型”教师和学术团队的引进力度，统筹配置城乡师资并向乡村倾斜，选优配强乡村教师队伍，进一步完善吸引优秀教师赴农村学校、薄弱学校任教的配套政策。</w:t>
      </w:r>
      <w:r>
        <w:t xml:space="preserve"> </w:t>
      </w:r>
    </w:p>
    <w:p>
      <w:pPr>
        <w:spacing w:line="570" w:lineRule="exact"/>
        <w:ind w:firstLine="0" w:firstLineChars="0"/>
        <w:jc w:val="center"/>
        <w:rPr>
          <w:b/>
          <w:bCs/>
        </w:rPr>
      </w:pPr>
      <w:r>
        <w:rPr>
          <w:rFonts w:hint="eastAsia"/>
          <w:b/>
          <w:bCs/>
        </w:rPr>
        <w:t>第四节 深入推进教育体制改革</w:t>
      </w:r>
    </w:p>
    <w:p>
      <w:pPr>
        <w:ind w:firstLine="640"/>
        <w:rPr>
          <w:rFonts w:eastAsiaTheme="minorEastAsia"/>
        </w:rPr>
      </w:pPr>
      <w:r>
        <w:rPr>
          <w:rFonts w:hint="eastAsia"/>
        </w:rPr>
        <w:t>深化教育领域“放管服”改革，大力支持和规范社会力量兴办教育，加大优质高端民办教育引进力度，探索公办民助、民办公助等多种办学模式，切实解决城区务工人员、经商人员子女入学难问题。建立适应“选课走班”教学要求的教学管理组织模式，建立和完善“选课走班”教学管理配套制度。建立覆盖各级各类学校、教师、学生、校产管理信息系统及基础数据库，逐步建立覆盖全体学生的电子档案系统，做好学生成长记录与综合素质评价。完善各类业务管理信息系统，支撑教育管理体制改革。推动学校管理规范化和校务工作，支持学校服务与管理流程优化。提升教育信息化管理的绩效和水平。加大职称改革、薪酬改革、区管校聘改革力度，推行校长职级制与校长负责制，提高学校办学自主权，健全绩效考核与激励机制。深化教育评价改革，用科学的教育评价引领推动教育现代化。通过与大连市等协作城市开展“手拉手”活动，提升办学水平，办成优质教育资源。</w:t>
      </w:r>
    </w:p>
    <w:p>
      <w:pPr>
        <w:spacing w:line="570" w:lineRule="exact"/>
        <w:ind w:firstLine="0" w:firstLineChars="0"/>
        <w:jc w:val="center"/>
        <w:rPr>
          <w:b/>
          <w:bCs/>
        </w:rPr>
      </w:pPr>
      <w:r>
        <w:rPr>
          <w:rFonts w:hint="eastAsia"/>
          <w:b/>
          <w:bCs/>
        </w:rPr>
        <w:t>第五节</w:t>
      </w:r>
      <w:r>
        <w:rPr>
          <w:b/>
          <w:bCs/>
        </w:rPr>
        <w:t xml:space="preserve"> 加快推进教育信息化建设</w:t>
      </w:r>
    </w:p>
    <w:p>
      <w:pPr>
        <w:spacing w:after="120"/>
        <w:ind w:firstLine="640"/>
      </w:pPr>
      <w:r>
        <w:rPr>
          <w:rFonts w:hint="eastAsia"/>
        </w:rPr>
        <w:t>教育信息化水平显著提升</w:t>
      </w:r>
      <w:r>
        <w:t>,基本实现“三全两高一大”发展目标。即教学应用覆盖全体教师、学习应用覆盖全体适龄学生、数字校园建设覆盖全体学校，信息化应用水平和师生信息素养普遍提高，建成“互联网+教育”大平台。实施“阳光校园·智慧教育”工程，提升教育智慧化水平。在教育资源共享、创新素养教育、教师队伍建设等方面形成新时代“互联网+教育”模式，使教育信息化手段和学科教学深度融合，提升教育质量，以教育信息化全面推动教育现代化。</w:t>
      </w:r>
    </w:p>
    <w:tbl>
      <w:tblPr>
        <w:tblStyle w:val="16"/>
        <w:tblpPr w:leftFromText="180" w:rightFromText="180" w:vertAnchor="text" w:horzAnchor="margin" w:tblpX="108"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42</w:t>
            </w:r>
            <w:r>
              <w:rPr>
                <w:rFonts w:hint="eastAsia" w:ascii="楷体" w:hAnsi="楷体" w:eastAsia="楷体"/>
                <w:sz w:val="26"/>
                <w:szCs w:val="26"/>
              </w:rPr>
              <w:t xml:space="preserve"> 教育发展重点项目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学前教育普及普惠</w:t>
            </w:r>
          </w:p>
          <w:p>
            <w:pPr>
              <w:spacing w:before="60" w:line="280" w:lineRule="exact"/>
              <w:ind w:firstLine="420"/>
              <w:rPr>
                <w:rFonts w:ascii="楷体" w:hAnsi="楷体" w:eastAsia="楷体"/>
                <w:sz w:val="26"/>
                <w:szCs w:val="26"/>
              </w:rPr>
            </w:pPr>
            <w:r>
              <w:rPr>
                <w:rFonts w:hint="eastAsia" w:ascii="楷体_GB2312" w:eastAsia="楷体_GB2312"/>
                <w:sz w:val="21"/>
                <w:szCs w:val="21"/>
              </w:rPr>
              <w:t>重点推进建设普惠性幼儿园89所。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义务教育均衡发展</w:t>
            </w:r>
          </w:p>
          <w:p>
            <w:pPr>
              <w:spacing w:line="280" w:lineRule="exact"/>
              <w:ind w:firstLine="420"/>
              <w:rPr>
                <w:rFonts w:ascii="楷体" w:hAnsi="楷体" w:eastAsia="楷体"/>
                <w:sz w:val="26"/>
                <w:szCs w:val="26"/>
              </w:rPr>
            </w:pPr>
            <w:r>
              <w:rPr>
                <w:rFonts w:hint="eastAsia" w:ascii="楷体_GB2312" w:eastAsia="楷体_GB2312"/>
                <w:sz w:val="21"/>
                <w:szCs w:val="21"/>
              </w:rPr>
              <w:t>改善提升中小学教学设施和生活设施141所，新增基础教育学位4.5万个。完善义务教育阶段学校教学及辅助用房、体育运动场馆、教学仪器设备、网络多媒体教室等办学条件。重点推进水城教育系统‘阳光校园·智慧教育’项目建设，包括网络多媒体教室1856间、5G网络覆盖362所学校等。推进水城教师研训一体化发展中心新建项目。重点推进水城职业教育综合性产教融合基地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3 </w:t>
            </w:r>
            <w:r>
              <w:rPr>
                <w:rFonts w:hint="eastAsia" w:ascii="楷体_GB2312" w:eastAsia="楷体_GB2312"/>
                <w:b/>
                <w:bCs/>
                <w:sz w:val="21"/>
                <w:szCs w:val="21"/>
              </w:rPr>
              <w:t>普通高中教育提升</w:t>
            </w:r>
          </w:p>
          <w:p>
            <w:pPr>
              <w:spacing w:line="280" w:lineRule="exact"/>
              <w:ind w:firstLine="420"/>
              <w:rPr>
                <w:rFonts w:ascii="楷体_GB2312" w:eastAsia="楷体_GB2312"/>
                <w:b/>
                <w:bCs/>
                <w:sz w:val="21"/>
                <w:szCs w:val="21"/>
              </w:rPr>
            </w:pPr>
            <w:r>
              <w:rPr>
                <w:rFonts w:hint="eastAsia" w:ascii="楷体_GB2312" w:eastAsia="楷体_GB2312"/>
                <w:sz w:val="21"/>
                <w:szCs w:val="21"/>
              </w:rPr>
              <w:t>普通高中教育提升，新建水城经开区第一中学、六盘水高新区严家寨中学，新增学位6000个；改扩建六盘水市第七中学、六盘水市第八中学和六盘水市第二十三中学，办学规模300个教学班，学位15000个；六盘水市第二十三中学创建成省级示范性普通高中，六盘水市第七中学、第八中学创建成省级特色示范性普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4 </w:t>
            </w:r>
            <w:r>
              <w:rPr>
                <w:rFonts w:hint="eastAsia" w:ascii="楷体_GB2312" w:eastAsia="楷体_GB2312"/>
                <w:b/>
                <w:bCs/>
                <w:sz w:val="21"/>
                <w:szCs w:val="21"/>
              </w:rPr>
              <w:t>职业教育创新工程</w:t>
            </w:r>
          </w:p>
          <w:p>
            <w:pPr>
              <w:spacing w:line="280" w:lineRule="exact"/>
              <w:ind w:firstLine="420"/>
            </w:pPr>
            <w:r>
              <w:rPr>
                <w:rFonts w:hint="eastAsia" w:ascii="楷体_GB2312" w:eastAsia="楷体_GB2312"/>
                <w:sz w:val="21"/>
                <w:szCs w:val="21"/>
              </w:rPr>
              <w:t>改善职业学校办学条件1所，推进水城职业技术学校经开校区建设，建设面积193635平方米，办学规模160个班8000个学位。</w:t>
            </w:r>
          </w:p>
        </w:tc>
      </w:tr>
    </w:tbl>
    <w:p>
      <w:pPr>
        <w:pStyle w:val="6"/>
        <w:spacing w:before="222"/>
      </w:pPr>
      <w:bookmarkStart w:id="131" w:name="_Toc63250109"/>
      <w:r>
        <w:rPr>
          <w:rFonts w:hint="eastAsia"/>
        </w:rPr>
        <w:t>第五十三章 加快推进健康水城建设</w:t>
      </w:r>
      <w:bookmarkEnd w:id="131"/>
    </w:p>
    <w:p>
      <w:pPr>
        <w:ind w:firstLine="640"/>
        <w:rPr>
          <w:rFonts w:eastAsiaTheme="minorEastAsia"/>
        </w:rPr>
      </w:pPr>
      <w:r>
        <w:rPr>
          <w:rFonts w:hint="eastAsia"/>
        </w:rPr>
        <w:t>坚持人民至上、生命至上，把保障人民健康放在优先发展的战略位置，坚持预防为主的方针，深入实施健康水城行动，完善居民健康促进政策，织牢公共卫生防护网，为人民提供全方位全周期健康服务。</w:t>
      </w:r>
    </w:p>
    <w:p>
      <w:pPr>
        <w:spacing w:line="570" w:lineRule="exact"/>
        <w:ind w:firstLine="0" w:firstLineChars="0"/>
        <w:jc w:val="center"/>
        <w:rPr>
          <w:b/>
          <w:bCs/>
        </w:rPr>
      </w:pPr>
      <w:r>
        <w:rPr>
          <w:rFonts w:hint="eastAsia"/>
          <w:b/>
          <w:bCs/>
        </w:rPr>
        <w:t>第一节</w:t>
      </w:r>
      <w:r>
        <w:rPr>
          <w:b/>
          <w:bCs/>
        </w:rPr>
        <w:t xml:space="preserve"> 健全公共卫生体系</w:t>
      </w:r>
    </w:p>
    <w:p>
      <w:pPr>
        <w:ind w:firstLine="640"/>
        <w:rPr>
          <w:rFonts w:eastAsiaTheme="minorEastAsia"/>
        </w:rPr>
      </w:pPr>
      <w:r>
        <w:rPr>
          <w:rFonts w:hint="eastAsia"/>
        </w:rPr>
        <w:t>完善公共卫生服务项目，全面补齐公共医疗服务短板，强化基层公共卫生体系，科学布局基层医疗卫生机构，加强医疗机构标准化建设，落实医疗机构公共卫生责任，创新医防协同机制。深入开展爱国卫生运动，全面推进城乡环境卫生综合整治，强化病媒生物防制，巩固国家卫生城市、国家卫生乡镇、省级卫生村创建成果。加快优质医疗资源扩容和区域均衡布局，加快推进妇幼保健院提质扩容，推进三级综合医院创建和儿童医院、体检中心项目建设。健全分级诊疗体系，深化县域医共体建设，加强乡镇卫生院（街道卫生服务中心）和村卫生室规范化建设，合理新增一批社区医院，规范社区医院诊室设置以及诊疗环境布局，设置儿童发热门诊，加大对农村医疗服务的投入力度，进一步提升农村、社区等基层医疗技术水平和服务能力，加大公职化村医招录力度。拓展社会办医发展空间，积极发展民营医院。全面开展“互联网</w:t>
      </w:r>
      <w:r>
        <w:t>+医疗健康”便民惠民服务，完善远程医疗服务体系。全面建设中医药服务体系，建设传统医药培训基地，提升中医药服务能力。加快卫生健康云数据中心建设，建设水城区卫生健康云数据中心。加快发展医疗诊疗辅助产业和生态旅居健康养生产业，建设康复疗养中心。加强人口变动情况监测，促进生殖保健融入妇女健康管理，增强家庭发展能力。健全120急救体系，完善120急救数字化调度平台。</w:t>
      </w:r>
      <w:r>
        <w:rPr>
          <w:rFonts w:hint="eastAsia"/>
        </w:rPr>
        <w:t>着力创建两所三甲医院，创建几个综合收入达到亿元以上的乡镇医院，努力做到“小病不出村、常见病不出乡、大病不出区”。</w:t>
      </w:r>
      <w:r>
        <w:t>到2025年，每个行政村配备2名乡村医生，每千常住人口医疗卫生机构床位数达到</w:t>
      </w:r>
      <w:r>
        <w:rPr>
          <w:rFonts w:hint="eastAsia"/>
        </w:rPr>
        <w:t>6</w:t>
      </w:r>
      <w:r>
        <w:t>张，非公立医院医疗卫生机构床位数达全市医疗机构床位数的30%以上。</w:t>
      </w:r>
    </w:p>
    <w:p>
      <w:pPr>
        <w:spacing w:line="570" w:lineRule="exact"/>
        <w:ind w:firstLine="0" w:firstLineChars="0"/>
        <w:jc w:val="center"/>
        <w:rPr>
          <w:b/>
          <w:bCs/>
        </w:rPr>
      </w:pPr>
      <w:r>
        <w:rPr>
          <w:rFonts w:hint="eastAsia"/>
          <w:b/>
          <w:bCs/>
        </w:rPr>
        <w:t>第二节</w:t>
      </w:r>
      <w:r>
        <w:rPr>
          <w:b/>
          <w:bCs/>
        </w:rPr>
        <w:t xml:space="preserve"> 强化重大疾病预防控制</w:t>
      </w:r>
    </w:p>
    <w:p>
      <w:pPr>
        <w:ind w:firstLine="640"/>
      </w:pPr>
      <w:r>
        <w:rPr>
          <w:rFonts w:hint="eastAsia"/>
        </w:rPr>
        <w:t>加强传染病监测预警、预防控制能力建设，提升突发传染病防控处置能力。强化疾病预防控制队伍能力建设，优化疾病预防控制机构职能设置，增加疾病预防控制人员编制。增强公立医院传染病救治能力，进一步强化乡镇卫生院和社区卫生服务中心疾病预防控制职能职责。巩固国家慢性病综合防控示范区创建成果，提升重点人群慢性病管理水平。继续做好国家免疫规划疫苗预防接种工作，强化心理服务体系建设和艾滋病、结核病、麻风病、地方病、职业病、严重精神障碍患者等重大疾病防治，推进山地紧急医学救援体系建设。加强部门联防联控和公共卫生系统应急准备能力建设，健全突发传染病事件社会预警机制和重大疫情应急响应机制，加强基层哨点建设，提高各级公共卫生系统应对突发事件能力。构建疾病预防控制机构与城乡社区联动工作机制，改进不明原因疾病和异常健康事件监测机制，推进建立智慧化预警多点触发机制，加强军地间和部门间传染病监测预警信息通报，不断提升疾病防控能力。</w:t>
      </w:r>
    </w:p>
    <w:p>
      <w:pPr>
        <w:ind w:firstLine="0" w:firstLineChars="0"/>
        <w:jc w:val="center"/>
        <w:rPr>
          <w:b/>
          <w:bCs/>
        </w:rPr>
      </w:pPr>
      <w:r>
        <w:rPr>
          <w:rFonts w:hint="eastAsia"/>
          <w:b/>
          <w:bCs/>
        </w:rPr>
        <w:t>第三节</w:t>
      </w:r>
      <w:r>
        <w:rPr>
          <w:b/>
          <w:bCs/>
        </w:rPr>
        <w:t xml:space="preserve"> 加快医药卫生体制改革</w:t>
      </w:r>
    </w:p>
    <w:p>
      <w:pPr>
        <w:spacing w:after="120"/>
        <w:ind w:firstLine="640"/>
      </w:pPr>
      <w:r>
        <w:rPr>
          <w:rFonts w:hint="eastAsia"/>
        </w:rPr>
        <w:t>实施卫生健康人才发展战略，完善人才引进、培养和激励机制，全面提升医疗机构服务能力。进一步完善医疗卫生机构和医务人员绩效考核机制，推进公立医院经济运行信息公开，加强对公立医疗机构医疗服务价格、成本、费用、收入分配及改革运行情况的监测，全面推开公立医院薪酬制度改革，完善公立医院薪酬总量核定、内部绩效考核和收入分配办法。深化医疗、医保、医药联动，加强医保基金管理，健全监管机制，建立全市的医保智能监控系统，强化事前、事中、事后监管，确保医保基金运行安全。持续推进以</w:t>
      </w:r>
      <w:r>
        <w:t>DRG为主导的医保支付方式改革，提高基本医保效能，探</w:t>
      </w:r>
      <w:r>
        <w:rPr>
          <w:rFonts w:hint="eastAsia"/>
        </w:rPr>
        <w:t>索开展门诊费用跨省直接结算。降低药品耗材虚高价格，贯彻落实国家基本药物制度，健全医疗服务项目和价格动态调整机制。加强医疗卫生行业综合监管，全面推进和完善卫生健康行业综合监管制度，推进卫生健康综合执法机构规范化建设，提升综合监管效能。</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43</w:t>
            </w:r>
            <w:r>
              <w:rPr>
                <w:rFonts w:hint="eastAsia" w:ascii="楷体" w:hAnsi="楷体" w:eastAsia="楷体"/>
                <w:sz w:val="26"/>
                <w:szCs w:val="26"/>
              </w:rPr>
              <w:t xml:space="preserve"> 医疗健康领域重点项目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60" w:lineRule="exact"/>
              <w:ind w:firstLine="0" w:firstLineChars="0"/>
              <w:jc w:val="left"/>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市县公立医院</w:t>
            </w:r>
            <w:r>
              <w:rPr>
                <w:rFonts w:hint="eastAsia" w:ascii="楷体_GB2312" w:eastAsia="楷体_GB2312"/>
                <w:sz w:val="21"/>
                <w:szCs w:val="21"/>
              </w:rPr>
              <w:t>。</w:t>
            </w:r>
          </w:p>
          <w:p>
            <w:pPr>
              <w:spacing w:line="260" w:lineRule="exact"/>
              <w:ind w:firstLine="420"/>
              <w:jc w:val="left"/>
              <w:rPr>
                <w:rFonts w:ascii="楷体" w:hAnsi="楷体" w:eastAsia="楷体"/>
                <w:sz w:val="26"/>
                <w:szCs w:val="26"/>
              </w:rPr>
            </w:pPr>
            <w:r>
              <w:rPr>
                <w:rFonts w:hint="eastAsia" w:ascii="楷体_GB2312" w:eastAsia="楷体_GB2312"/>
                <w:sz w:val="21"/>
                <w:szCs w:val="21"/>
              </w:rPr>
              <w:t>重点实施水城人民医院建设项目（二期）改扩建项目、水城传染病医院建设项目、水城区中医院、水城区精神病医院、水城人民医院三级乙等达标扩建项目、水城区老年医院、水城区儿童医院、六盘水市（水城区）中医医院传染病区改建等项目建设。推进水城乡（镇、街道）医养结合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8727" w:type="dxa"/>
          </w:tcPr>
          <w:p>
            <w:pPr>
              <w:spacing w:before="60" w:line="260" w:lineRule="exact"/>
              <w:ind w:firstLine="0" w:firstLineChars="0"/>
              <w:jc w:val="left"/>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公共卫生救治体系现代化</w:t>
            </w:r>
          </w:p>
          <w:p>
            <w:pPr>
              <w:spacing w:line="280" w:lineRule="exact"/>
              <w:ind w:firstLine="420"/>
            </w:pPr>
            <w:r>
              <w:rPr>
                <w:rFonts w:hint="eastAsia" w:ascii="楷体_GB2312" w:eastAsia="楷体_GB2312"/>
                <w:sz w:val="21"/>
                <w:szCs w:val="21"/>
              </w:rPr>
              <w:t>推进水城区体检中心，康复疗养中心，双水、尖山、以朵、海坪、红桥等街道办卫生服务中心建设项目，水城健康医药产业建设项目，水城人民医院重症医学科规范化建设项目，水城职业病检测中心项目，水城人民医院平战转换停车场项目、水城妇幼保健院建设项目、水城精神病医院建设项目、水城五官科医院建设项目、水城肿瘤医院建设项目、六盘水市（水城区）中医医院急诊急救能力提升项目、重症医学科规范化建设项目、医技中心建设项目等项目建设。建设健康产业园、山地紧急医学救援体系，实施健康细胞工程（健康单位、健康学校、健康社区、健康家庭等）。</w:t>
            </w:r>
          </w:p>
        </w:tc>
      </w:tr>
    </w:tbl>
    <w:p>
      <w:pPr>
        <w:pStyle w:val="6"/>
        <w:spacing w:before="222"/>
      </w:pPr>
      <w:bookmarkStart w:id="132" w:name="_Toc63250110"/>
      <w:r>
        <w:rPr>
          <w:rFonts w:hint="eastAsia"/>
        </w:rPr>
        <w:t>第五十四章 完善社会保障体系</w:t>
      </w:r>
      <w:bookmarkEnd w:id="132"/>
    </w:p>
    <w:p>
      <w:pPr>
        <w:spacing w:line="570" w:lineRule="exact"/>
        <w:ind w:firstLine="640"/>
      </w:pPr>
      <w:r>
        <w:rPr>
          <w:rFonts w:hint="eastAsia"/>
        </w:rPr>
        <w:t>建立完善低收入群体兜底保障机制，构建以社会保险、社会救助、社会福利为主，社会帮扶、社工帮助为辅的多层次综合社会保障体系，提升社会保障水平。</w:t>
      </w:r>
    </w:p>
    <w:p>
      <w:pPr>
        <w:pStyle w:val="29"/>
        <w:numPr>
          <w:ilvl w:val="0"/>
          <w:numId w:val="1"/>
        </w:numPr>
        <w:spacing w:line="570" w:lineRule="exact"/>
        <w:ind w:firstLineChars="0"/>
        <w:jc w:val="center"/>
        <w:rPr>
          <w:b/>
          <w:bCs/>
        </w:rPr>
      </w:pPr>
      <w:r>
        <w:rPr>
          <w:rFonts w:hint="eastAsia"/>
          <w:b/>
          <w:bCs/>
        </w:rPr>
        <w:t>完善社会保险体系</w:t>
      </w:r>
    </w:p>
    <w:p>
      <w:pPr>
        <w:ind w:firstLine="640"/>
      </w:pPr>
      <w:r>
        <w:rPr>
          <w:rFonts w:hint="eastAsia"/>
        </w:rPr>
        <w:t>坚持“全覆盖、保基本、多层次、可持续”的基本方针，着力推进社会保险发展，进一步扩大基本养老保险的覆盖范围，落实基本养老保险待遇正常调整等相关政策。建立完善低收入群体兜底保障机制，深化社会保障制度改革，全面实施全民参保计划，促进灵活就业人员、新就业形态从业人员参保，建立完善低收入群体兜底保障机制，构建以社会保险、社会救助、社会福利为主，社会帮扶、社工帮助为辅的多层次综合社会保障体系。健全个人账户养老金与基础养老金相协调、个人缴费与政府责任相适应、待遇水平有保障的城镇职工和城乡居民基本养老保险制度，推动实现企业与机关事业单位各项社会保险制度有效衔接。推进社保转移接续，健全社保筹资和待遇调整机制。落实失业保险制度。建立与全国、全省统一的社会保险公共服务平台，实现社会保障“一卡通”。促进灵活就业人员参保，积极扩大社会保险参保覆盖范围。健全社保基金管理风险防控体系和监督机制。</w:t>
      </w:r>
      <w:r>
        <w:t>2025年，城镇职工和城乡居民基本养老保险参保人数分别达到4.18万人和40.70万人，失业和工伤参保人数分别达到2.2万人和4万人。</w:t>
      </w:r>
    </w:p>
    <w:p>
      <w:pPr>
        <w:ind w:firstLine="0" w:firstLineChars="0"/>
        <w:jc w:val="center"/>
        <w:rPr>
          <w:b/>
          <w:bCs/>
        </w:rPr>
      </w:pPr>
      <w:r>
        <w:rPr>
          <w:rFonts w:hint="eastAsia"/>
          <w:b/>
          <w:bCs/>
        </w:rPr>
        <w:t>第二节 健全医疗保障服务体系</w:t>
      </w:r>
    </w:p>
    <w:p>
      <w:pPr>
        <w:ind w:firstLine="640"/>
        <w:rPr>
          <w:rFonts w:eastAsiaTheme="minorEastAsia"/>
        </w:rPr>
      </w:pPr>
      <w:r>
        <w:rPr>
          <w:rFonts w:hint="eastAsia"/>
        </w:rPr>
        <w:t>持续深化医保制度改革，健全统一的城乡居民基本医保制度和管理体制，实施城乡居民基本医疗和大病保险制度，不断完善医疗救助制度，积极发展商业健康保险，加快构建覆盖全民、城乡统筹、权责清晰、保障适度、可持续的多层次医疗保障体系。完善重大疫情医疗救治费用保障机制，落实异地就医结算。深化医保支付方式改革，提高医保基金使用效能。落实医疗服务项目和价格动态调整机制，提高医保公共管理信息化服务水平，为人民群众提供便捷高效的医疗保障服务。</w:t>
      </w:r>
    </w:p>
    <w:p>
      <w:pPr>
        <w:ind w:firstLine="0" w:firstLineChars="0"/>
        <w:jc w:val="center"/>
        <w:rPr>
          <w:b/>
          <w:bCs/>
        </w:rPr>
      </w:pPr>
      <w:r>
        <w:rPr>
          <w:rFonts w:hint="eastAsia"/>
          <w:b/>
          <w:bCs/>
        </w:rPr>
        <w:t>第三节 健全社会救助体系</w:t>
      </w:r>
    </w:p>
    <w:p>
      <w:pPr>
        <w:ind w:firstLine="640"/>
      </w:pPr>
      <w:r>
        <w:rPr>
          <w:rFonts w:hint="eastAsia"/>
        </w:rPr>
        <w:t>加快构建以基本生活救助、专项社会救助、急难社会救助为主体，社会力量参与为补充的多层次救助体系，将符合条件的城乡困难人员全部纳入社会救助范围，实现应保尽保、按标施保。进一步提质改造，建成、运营残疾人托养服务中心和残疾人康复服务中心，实现儿童福利服务设施全覆盖，完善特困人员供养服务设施，加大特殊困难群体救助力度，逐步提高城乡低保标准和特困人员救助供养标准。健全完善社会救助标准合理动态调整机制，科学制定低保标准。精准认定救助对象，逐步拓展救助内容，切实保障孤儿、事实无人抚养儿童和城乡困难群众基本生活。实施困难残疾人法律救助工程和残疾人康复工程，加快建设残疾人、精神障碍患者等特殊群体服务设施，完善困难残疾人生活补贴和重度残疾人护理补贴制度。积极发展服务类社会救助，健全社会救助信息系统，逐步实现社会救助信息精准化核对、网络化管理，适时启动社会救助与物价上涨挂钩联动机制。加大市、县流浪乞讨人员救助管理机构提质改造力度，实现救助管理服务功能全覆盖。</w:t>
      </w:r>
    </w:p>
    <w:p>
      <w:pPr>
        <w:spacing w:line="570" w:lineRule="exact"/>
        <w:ind w:firstLine="0" w:firstLineChars="0"/>
        <w:jc w:val="center"/>
        <w:rPr>
          <w:b/>
          <w:bCs/>
        </w:rPr>
      </w:pPr>
      <w:r>
        <w:rPr>
          <w:rFonts w:hint="eastAsia"/>
          <w:b/>
          <w:bCs/>
        </w:rPr>
        <w:t>第四节 提升住房保障水平</w:t>
      </w:r>
    </w:p>
    <w:p>
      <w:pPr>
        <w:ind w:firstLine="640"/>
      </w:pPr>
      <w:r>
        <w:rPr>
          <w:rFonts w:hint="eastAsia"/>
        </w:rPr>
        <w:t>改善居民住房条件，建立完善多主体供给、多渠道保障、租购并举的住房制度。推进保障性住房建设，提高保障性住房信息化管理水平，完善并严格执行准入退出机制，确保公平分配。因地制宜发展共有产权住房，加快解决城镇中低收入群体和符合条件新居民住房困难。将易地扶贫搬迁群众新增住房需求，优先纳入租购公共租赁性住房政策保障，同步享受城市低收入群体的公租房或住房租赁性补贴。持续做好地质灾害搬迁和水库移民搬迁工作。规范发展公共租赁住房，将城镇中等偏下收入住房困难家庭、新就业无房职工、稳定就业外来务工人员和在城市居住的成年孤儿纳入租赁补贴范围。对易地扶贫搬迁移民新增的住房需求，优先租购公共租赁性住房政策，同步享受城市低收入群体的公租房或住房租赁补贴。</w:t>
      </w:r>
      <w:r>
        <w:t>“十四五”期间，100户以上易地扶贫搬迁安置区，每个安置区按搬迁户数25%左右比例配套建设公租房。到2035年，每个安置区配套公租房套数达到现有搬迁户数的50%左右</w:t>
      </w:r>
      <w:r>
        <w:rPr>
          <w:rFonts w:hint="eastAsia"/>
        </w:rPr>
        <w:t>。</w:t>
      </w:r>
      <w:r>
        <w:t>分步推进老旧小区、老旧厂区、老旧街区和城中村改造，</w:t>
      </w:r>
      <w:r>
        <w:rPr>
          <w:rFonts w:hint="eastAsia"/>
        </w:rPr>
        <w:t>重点推进朝阳社区、观音山、沙龙社区、塔山、阿戛镇等多处老旧小区改造。坚持市场化运作，鼓励和支持专业机构参与老旧小区建设和运营，不断完善社区基础设施和公共服务配套设施，在有条件的老旧小区加装电梯，完善老旧小区安防、健身、绿化、养老、托幼、消防等配套设施，让改造后的社区居民生活得更方便、更安全、更舒心、更美好。</w:t>
      </w:r>
    </w:p>
    <w:p>
      <w:pPr>
        <w:ind w:firstLine="640"/>
        <w:rPr>
          <w:rFonts w:eastAsiaTheme="minorEastAsia"/>
        </w:rPr>
      </w:pPr>
      <w:r>
        <w:rPr>
          <w:rFonts w:hint="eastAsia"/>
        </w:rPr>
        <w:t>规范乡村住房建设，改善乡村住房风貌特色，持续开展农村危房改造和危旧房专项整治行动，开展乡村住房质量摸底调查，继续做好农村危房改造工作，加强对改造后的农村危房动态监测和排查，对因地质灾害、天气影响等自然因素造成结构破坏的住房进行分级修缮，确保农村住房安全。加强老旧房屋整治工作，完善厨房、卫生间、圈舍等功能空间布局，合理布局排污、排水管道。建立乡村建筑工匠档案，并组织开展乡村住房建设培训，提高乡村建筑工匠业务水平。</w:t>
      </w:r>
    </w:p>
    <w:p>
      <w:pPr>
        <w:spacing w:line="570" w:lineRule="exact"/>
        <w:ind w:firstLine="0" w:firstLineChars="0"/>
        <w:jc w:val="center"/>
        <w:rPr>
          <w:b/>
          <w:bCs/>
        </w:rPr>
      </w:pPr>
      <w:r>
        <w:rPr>
          <w:rFonts w:hint="eastAsia"/>
          <w:b/>
          <w:bCs/>
        </w:rPr>
        <w:t>第五节 保障妇女和未成年人基本权益</w:t>
      </w:r>
    </w:p>
    <w:p>
      <w:pPr>
        <w:spacing w:after="120"/>
        <w:ind w:firstLine="640"/>
      </w:pPr>
      <w:r>
        <w:rPr>
          <w:rFonts w:hint="eastAsia"/>
        </w:rPr>
        <w:t>持续改善妇女发展环境，促进妇女平等依法行使权利，参与经济社会发展、共享发展成果。保障妇女平等享有政治权利、经济权益、土地权益和教育权利，推动妇女广泛参与社会事务和民主管理，消除就业性别歧视，落实妇女产假和生育津贴制度。提高留守妇女关爱服务水平，严厉打击侵害妇女和女童人身权利的违法犯罪行为。深入实施儿童发展纲要，优化儿童发展环境，切实保障儿童生存权、发展权、受保护权和参与权。促进青年全面发展，搭建青年成长成才和建功立业的平台，激发青年创新创业活力，在全区发展中发挥生力军作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44</w:t>
            </w:r>
            <w:r>
              <w:rPr>
                <w:rFonts w:hint="eastAsia" w:ascii="楷体" w:hAnsi="楷体" w:eastAsia="楷体"/>
                <w:sz w:val="26"/>
                <w:szCs w:val="26"/>
              </w:rPr>
              <w:t xml:space="preserve"> 社会保障领域重点项目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27" w:type="dxa"/>
          </w:tcPr>
          <w:p>
            <w:pPr>
              <w:spacing w:before="60" w:line="280" w:lineRule="exact"/>
              <w:ind w:firstLine="0" w:firstLineChars="0"/>
              <w:rPr>
                <w:sz w:val="21"/>
                <w:szCs w:val="21"/>
              </w:rPr>
            </w:pPr>
            <w:r>
              <w:rPr>
                <w:rFonts w:hint="eastAsia"/>
                <w:b/>
                <w:bCs/>
                <w:sz w:val="21"/>
                <w:szCs w:val="21"/>
              </w:rPr>
              <w:t>0</w:t>
            </w:r>
            <w:r>
              <w:rPr>
                <w:b/>
                <w:bCs/>
                <w:sz w:val="21"/>
                <w:szCs w:val="21"/>
              </w:rPr>
              <w:t xml:space="preserve">1 </w:t>
            </w:r>
            <w:r>
              <w:rPr>
                <w:rFonts w:hint="eastAsia"/>
                <w:b/>
                <w:bCs/>
                <w:sz w:val="21"/>
                <w:szCs w:val="21"/>
              </w:rPr>
              <w:t>城乡社区综合服务设施全覆盖</w:t>
            </w:r>
          </w:p>
          <w:p>
            <w:pPr>
              <w:spacing w:before="60" w:line="280" w:lineRule="exact"/>
              <w:ind w:firstLine="420"/>
              <w:rPr>
                <w:rFonts w:ascii="楷体" w:hAnsi="楷体" w:eastAsia="楷体"/>
                <w:sz w:val="26"/>
                <w:szCs w:val="26"/>
              </w:rPr>
            </w:pPr>
            <w:r>
              <w:rPr>
                <w:rFonts w:hint="eastAsia"/>
                <w:sz w:val="21"/>
                <w:szCs w:val="21"/>
              </w:rPr>
              <w:t>新建水城殡仪馆、农村殡仪服务中心、经营性公墓、公益性公墓，改建</w:t>
            </w:r>
            <w:r>
              <w:rPr>
                <w:sz w:val="21"/>
                <w:szCs w:val="21"/>
              </w:rPr>
              <w:t>86个社区</w:t>
            </w:r>
            <w:r>
              <w:rPr>
                <w:rFonts w:hint="eastAsia"/>
                <w:sz w:val="21"/>
                <w:szCs w:val="21"/>
              </w:rPr>
              <w:t>的农村幸福院。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27" w:type="dxa"/>
          </w:tcPr>
          <w:p>
            <w:pPr>
              <w:spacing w:before="60" w:line="280" w:lineRule="exact"/>
              <w:ind w:firstLine="0" w:firstLineChars="0"/>
              <w:rPr>
                <w:b/>
                <w:bCs/>
                <w:sz w:val="21"/>
                <w:szCs w:val="21"/>
              </w:rPr>
            </w:pPr>
            <w:r>
              <w:rPr>
                <w:rFonts w:hint="eastAsia"/>
                <w:b/>
                <w:bCs/>
                <w:sz w:val="21"/>
                <w:szCs w:val="21"/>
              </w:rPr>
              <w:t>0</w:t>
            </w:r>
            <w:r>
              <w:rPr>
                <w:b/>
                <w:bCs/>
                <w:sz w:val="21"/>
                <w:szCs w:val="21"/>
              </w:rPr>
              <w:t xml:space="preserve">2 </w:t>
            </w:r>
            <w:r>
              <w:rPr>
                <w:rFonts w:hint="eastAsia"/>
                <w:b/>
                <w:bCs/>
                <w:sz w:val="21"/>
                <w:szCs w:val="21"/>
              </w:rPr>
              <w:t>社会保障</w:t>
            </w:r>
          </w:p>
          <w:p>
            <w:pPr>
              <w:spacing w:line="280" w:lineRule="exact"/>
              <w:ind w:firstLine="420"/>
            </w:pPr>
            <w:r>
              <w:rPr>
                <w:rFonts w:hint="eastAsia"/>
                <w:sz w:val="21"/>
                <w:szCs w:val="21"/>
              </w:rPr>
              <w:t>重点推进水城区残疾人托养服务中心和水城区残疾人康复中心提质改造。</w:t>
            </w:r>
          </w:p>
        </w:tc>
      </w:tr>
    </w:tbl>
    <w:p>
      <w:pPr>
        <w:pStyle w:val="6"/>
        <w:spacing w:before="222"/>
      </w:pPr>
      <w:bookmarkStart w:id="133" w:name="_Toc63250111"/>
      <w:r>
        <w:rPr>
          <w:rFonts w:hint="eastAsia"/>
        </w:rPr>
        <w:t>第五十五章 推进全民体育发展</w:t>
      </w:r>
      <w:bookmarkEnd w:id="133"/>
    </w:p>
    <w:p>
      <w:pPr>
        <w:ind w:firstLine="640"/>
      </w:pPr>
      <w:r>
        <w:rPr>
          <w:rFonts w:hint="eastAsia"/>
        </w:rPr>
        <w:t>推进体育事业纵深发展，强化体育基础设施建设，继续实施全民健身工程，打造特色民俗体育赛事，广泛开展全民健身运动，普及居民健康生活。</w:t>
      </w:r>
    </w:p>
    <w:p>
      <w:pPr>
        <w:ind w:firstLine="640"/>
      </w:pPr>
      <w:r>
        <w:rPr>
          <w:rFonts w:hint="eastAsia"/>
        </w:rPr>
        <w:t>推进公共体育场馆建设，包含室内篮球馆、标准田径场、多功能健身中心等。改造提升区、乡（镇）、村三级的公共体育设施。根据发展需要，建设满足老年人开展体育活动的老年人体育活动中心。继续实施校园体育提振工程，提升全区竞技体育发展水平。继续扶持少数民族体育发展，打造特色民俗体育赛事。</w:t>
      </w:r>
    </w:p>
    <w:p>
      <w:pPr>
        <w:spacing w:after="120"/>
        <w:ind w:firstLine="640"/>
      </w:pPr>
      <w:r>
        <w:rPr>
          <w:rFonts w:hint="eastAsia"/>
        </w:rPr>
        <w:t>广泛开展全民健身运动，普及居民健康生活，建设一批体育场馆、户外健身场地和生态体育公园，打造城镇社区</w:t>
      </w:r>
      <w:r>
        <w:t>15分钟健身圈，全面增强人民体质。加强健身步道、骑行道、全民健身中心、体育公园、城镇社区体育健身设施、农民体育健身广场、社会足球场等公共体育设施建设，推动全民健身场地设施在</w:t>
      </w:r>
      <w:r>
        <w:rPr>
          <w:rFonts w:hint="eastAsia"/>
        </w:rPr>
        <w:t>全区</w:t>
      </w:r>
      <w:r>
        <w:t>城乡范围内全覆盖。鼓励</w:t>
      </w:r>
      <w:r>
        <w:rPr>
          <w:rFonts w:hint="eastAsia"/>
        </w:rPr>
        <w:t>县</w:t>
      </w:r>
      <w:r>
        <w:t>域内学校在寒暑假期间对体育场馆实行免费或低收费对外开放。发展一批规范组织、合法合规的体育社会组织，培育形式多样的体育健身活动。广泛宣传和普及科学健身常识，引导群众掌握科学健身方法，定</w:t>
      </w:r>
      <w:r>
        <w:rPr>
          <w:rFonts w:hint="eastAsia"/>
        </w:rPr>
        <w:t>期在全区范围内举办全民徒步、竞技、操舞、棋牌等赛事，充分调动群众健身积极性。健全有利于青少年健康成长的体制机制，推进卫生健康法治建设，深入开展新时代爱国卫生运动。建立巩固国家卫生城市创建成果长效机制。到</w:t>
      </w:r>
      <w:r>
        <w:t>2025年，人均体育场地面积到达2平方米以上。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2"/>
              <w:jc w:val="center"/>
              <w:rPr>
                <w:rFonts w:ascii="楷体" w:hAnsi="楷体" w:eastAsia="楷体"/>
              </w:rPr>
            </w:pPr>
            <w:r>
              <w:rPr>
                <w:rFonts w:hint="eastAsia" w:ascii="楷体" w:hAnsi="楷体" w:eastAsia="楷体"/>
                <w:sz w:val="26"/>
                <w:szCs w:val="26"/>
              </w:rPr>
              <w:t>专栏</w:t>
            </w:r>
            <w:r>
              <w:rPr>
                <w:rFonts w:ascii="楷体" w:hAnsi="楷体" w:eastAsia="楷体"/>
                <w:sz w:val="26"/>
                <w:szCs w:val="26"/>
              </w:rPr>
              <w:t>45</w:t>
            </w:r>
            <w:r>
              <w:rPr>
                <w:rFonts w:hint="eastAsia" w:ascii="楷体" w:hAnsi="楷体" w:eastAsia="楷体"/>
                <w:sz w:val="26"/>
                <w:szCs w:val="26"/>
              </w:rPr>
              <w:t xml:space="preserve"> 全民体育发展重点项目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60" w:line="280" w:lineRule="exact"/>
              <w:ind w:firstLine="420"/>
              <w:textAlignment w:val="baseline"/>
              <w:rPr>
                <w:rFonts w:ascii="楷体_GB2312" w:eastAsia="楷体_GB2312"/>
                <w:sz w:val="21"/>
                <w:szCs w:val="21"/>
              </w:rPr>
            </w:pPr>
            <w:r>
              <w:rPr>
                <w:rFonts w:hint="eastAsia" w:ascii="楷体_GB2312" w:eastAsia="楷体_GB2312"/>
                <w:sz w:val="21"/>
                <w:szCs w:val="21"/>
              </w:rPr>
              <w:t>新建水城区公共体育场馆项目建设，内容包括一馆（篮球馆）、一场（田径场）、一中心（多功能健身中心）。</w:t>
            </w:r>
          </w:p>
          <w:p>
            <w:pPr>
              <w:spacing w:line="280" w:lineRule="exact"/>
              <w:ind w:firstLine="420"/>
              <w:textAlignment w:val="baseline"/>
              <w:rPr>
                <w:rFonts w:ascii="楷体_GB2312" w:eastAsia="楷体_GB2312"/>
                <w:sz w:val="21"/>
                <w:szCs w:val="21"/>
              </w:rPr>
            </w:pPr>
            <w:r>
              <w:rPr>
                <w:rFonts w:hint="eastAsia" w:ascii="楷体_GB2312" w:eastAsia="楷体_GB2312"/>
                <w:sz w:val="21"/>
                <w:szCs w:val="21"/>
              </w:rPr>
              <w:t>重点推进水城野玉海高原运动训练基地建设和水城玉舍雪场滑雪运动训练基地提质升级。</w:t>
            </w:r>
          </w:p>
          <w:p>
            <w:pPr>
              <w:spacing w:line="280" w:lineRule="exact"/>
              <w:ind w:firstLine="420"/>
              <w:textAlignment w:val="baseline"/>
              <w:rPr>
                <w:rFonts w:ascii="楷体_GB2312" w:eastAsia="楷体_GB2312"/>
                <w:sz w:val="21"/>
                <w:szCs w:val="21"/>
              </w:rPr>
            </w:pPr>
            <w:r>
              <w:rPr>
                <w:rFonts w:hint="eastAsia" w:ascii="楷体_GB2312" w:eastAsia="楷体_GB2312"/>
                <w:sz w:val="21"/>
                <w:szCs w:val="21"/>
              </w:rPr>
              <w:t>推进水城区公共体育设施改造提升工程项目，对区、乡（镇、街道）和村（居、社区）的健身路径、篮球场、主球场、健身中心等公共体育场地和设施实施更新、修缮及改造提升。</w:t>
            </w:r>
          </w:p>
          <w:p>
            <w:pPr>
              <w:spacing w:line="280" w:lineRule="exact"/>
              <w:ind w:firstLine="420"/>
              <w:textAlignment w:val="baseline"/>
              <w:rPr>
                <w:rFonts w:ascii="楷体_GB2312" w:eastAsia="楷体_GB2312"/>
                <w:sz w:val="21"/>
                <w:szCs w:val="21"/>
              </w:rPr>
            </w:pPr>
            <w:r>
              <w:rPr>
                <w:rFonts w:hint="eastAsia" w:ascii="楷体_GB2312" w:eastAsia="楷体_GB2312"/>
                <w:sz w:val="21"/>
                <w:szCs w:val="21"/>
              </w:rPr>
              <w:t>推进水城双水河沿岸健康步道、水城区景区徒步健身步道改造提升建设项目，水城区游客集散中心、滴水岩、百车河、半方塘、野鸡坪、世界第一高桥、高家渡及茶叶园区间的徒步健身步道改造提升。</w:t>
            </w:r>
          </w:p>
          <w:p>
            <w:pPr>
              <w:pStyle w:val="2"/>
              <w:spacing w:after="120" w:line="280" w:lineRule="exact"/>
              <w:ind w:firstLine="420" w:firstLineChars="200"/>
              <w:rPr>
                <w:rFonts w:eastAsiaTheme="minorEastAsia"/>
              </w:rPr>
            </w:pPr>
            <w:r>
              <w:rPr>
                <w:rFonts w:hint="eastAsia" w:ascii="楷体_GB2312" w:eastAsia="楷体_GB2312"/>
              </w:rPr>
              <w:t>推进水城区景区体育公园建设项目，按照体育公园建设标准，对百车河、半方塘、野玉海、北盘江及茶叶园区进行改造提升。</w:t>
            </w:r>
          </w:p>
        </w:tc>
      </w:tr>
    </w:tbl>
    <w:p>
      <w:pPr>
        <w:pStyle w:val="6"/>
        <w:spacing w:before="222"/>
      </w:pPr>
      <w:bookmarkStart w:id="134" w:name="_Toc63250112"/>
      <w:r>
        <w:rPr>
          <w:rFonts w:hint="eastAsia"/>
        </w:rPr>
        <w:t>第五十六章 积极应对人口老龄化</w:t>
      </w:r>
      <w:bookmarkEnd w:id="134"/>
    </w:p>
    <w:p>
      <w:pPr>
        <w:ind w:firstLine="640"/>
      </w:pPr>
      <w:r>
        <w:rPr>
          <w:rFonts w:hint="eastAsia"/>
        </w:rPr>
        <w:t>贯彻落实国家积极应对人口老龄化战略，提高优生优育服务水平，降低生育、养育、教育成本，促进人口长期均衡发展，强化政府保基本、兜底线职能，健全老有所养、幼有所育的政策体系，推进养老育幼事业全面发展。</w:t>
      </w:r>
    </w:p>
    <w:p>
      <w:pPr>
        <w:spacing w:line="570" w:lineRule="exact"/>
        <w:ind w:firstLine="0" w:firstLineChars="0"/>
        <w:jc w:val="center"/>
        <w:rPr>
          <w:b/>
          <w:bCs/>
        </w:rPr>
      </w:pPr>
      <w:r>
        <w:rPr>
          <w:rFonts w:hint="eastAsia"/>
          <w:b/>
          <w:bCs/>
        </w:rPr>
        <w:t>第一节 提高养老服务质量</w:t>
      </w:r>
    </w:p>
    <w:p>
      <w:pPr>
        <w:ind w:firstLine="640"/>
      </w:pPr>
      <w:r>
        <w:rPr>
          <w:rFonts w:hint="eastAsia"/>
        </w:rPr>
        <w:t>完善社会养老服务体系，健全基本养老保险制度，扩大基本养老保险的覆盖范围。全面建成城市社区居家养老服务网络，鼓励发展农村互助养老模式。扎实抓好老龄人口工作，高度重视留守老人养老问题。逐步建立和完善老年人口救助制度，关注老年人口群体发展，切实解决好老年人社会保障、精神文化生活等问题，面向老年人及其照护者重点开展运动健身、心理健康、疾病预防、康复护理、养生保健等健康宣传教育，建立健全老年健康危险因素干预、疾病早发现早诊断早治疗、失能预防三级预防体系。全面建成城市社区居家养老服务网络，发展有偿社会养老服务体系，大力发展政府兜底保障型、社区居家、社会化中高端等养老模式，改扩建一批养老机构，在城市社区建设一批集健身、娱乐、护理、食宿于一体的品质型日间照料中心，在行政村或较大自然村建设老年日间照料中心、农村幸福院等互助性养老服务设施。</w:t>
      </w:r>
    </w:p>
    <w:p>
      <w:pPr>
        <w:ind w:firstLine="640"/>
      </w:pPr>
      <w:r>
        <w:rPr>
          <w:rFonts w:hint="eastAsia"/>
        </w:rPr>
        <w:t>积极开发老龄人力资源，发展银发经济。推动养老事业和养老产业协同发展，鼓励和动员社会力量兴办养老机构，健全基本养老服务体系，发展普惠型养老服务和互助性养老，支持家庭承担养老功能，培育养老新业态，构建居家社区机构相协调、医养康养相结合的养老服务体系，鼓励发展农村互助养老模式，健全养老服务综合监管制度。</w:t>
      </w:r>
    </w:p>
    <w:p>
      <w:pPr>
        <w:spacing w:line="570" w:lineRule="exact"/>
        <w:ind w:firstLine="0" w:firstLineChars="0"/>
        <w:jc w:val="center"/>
        <w:rPr>
          <w:b/>
          <w:bCs/>
        </w:rPr>
      </w:pPr>
      <w:r>
        <w:rPr>
          <w:rFonts w:hint="eastAsia"/>
          <w:b/>
          <w:bCs/>
        </w:rPr>
        <w:t>第二节 建立健全婴幼儿照护服务体系</w:t>
      </w:r>
    </w:p>
    <w:p>
      <w:pPr>
        <w:ind w:firstLine="640"/>
      </w:pPr>
      <w:r>
        <w:rPr>
          <w:rFonts w:hint="eastAsia"/>
        </w:rPr>
        <w:t>进一步强化家庭对</w:t>
      </w:r>
      <w:r>
        <w:t>3岁以下婴幼儿照护的主体责任，全面落实产假政策，鼓励用人单位采取灵活安排工作时间等积极措施，为婴幼儿照护创造便利条件。通过入户指导、亲子活动、家长课堂等方式，利用互联网等信息化手段，为家长及婴幼儿照护者提供婴幼儿早期发展指导服务，增强家庭的科学育儿能力。建设一批普惠托育机构和托育服务设施，支持用人单位以单独或联合其他单位的方式，在工作场所为职工提供福利性婴幼儿照护服务，鼓励公立幼儿园增设托幼班。加强社区婴幼儿照护服务设施与社区服务中心（站）及社区卫生、文化、体育等设施的功能衔接，发挥综合效益</w:t>
      </w:r>
      <w:r>
        <w:rPr>
          <w:rFonts w:hint="eastAsia"/>
        </w:rPr>
        <w:t>，支持和引导社会力量依托社区提供婴幼儿照护服务，不断增加普惠性托育服务有效供给。到</w:t>
      </w:r>
      <w:r>
        <w:t>2025年，每千名儿童拥有托位数3</w:t>
      </w:r>
      <w:r>
        <w:rPr>
          <w:rFonts w:hint="eastAsia"/>
        </w:rPr>
        <w:t>个</w:t>
      </w:r>
      <w:r>
        <w:t>左右。</w:t>
      </w:r>
    </w:p>
    <w:p>
      <w:pPr>
        <w:pStyle w:val="2"/>
        <w:rPr>
          <w:rFonts w:eastAsiaTheme="minorEastAsia"/>
        </w:rPr>
      </w:pPr>
    </w:p>
    <w:p>
      <w:pPr>
        <w:spacing w:line="570" w:lineRule="exact"/>
        <w:ind w:firstLine="0" w:firstLineChars="0"/>
        <w:jc w:val="center"/>
        <w:rPr>
          <w:b/>
          <w:bCs/>
        </w:rPr>
      </w:pPr>
      <w:r>
        <w:rPr>
          <w:rFonts w:hint="eastAsia"/>
          <w:b/>
          <w:bCs/>
        </w:rPr>
        <w:t>第三节 提高优生优育水平</w:t>
      </w:r>
    </w:p>
    <w:p>
      <w:pPr>
        <w:spacing w:after="120"/>
        <w:ind w:firstLine="640"/>
        <w:rPr>
          <w:rFonts w:eastAsiaTheme="minorEastAsia"/>
        </w:rPr>
      </w:pPr>
      <w:r>
        <w:rPr>
          <w:rFonts w:hint="eastAsia"/>
        </w:rPr>
        <w:t>落实国家生育政策，不断增强生育政策包容性，提高优生优育服务水平，完善生育服务体系，加强优生优育知识宣传，利用宣传栏、电子显示屏、微信推送功能等载体，传播孕前健康检查、孕期膳食营养等知识。构建普惠托育服务体系，降低生育、养育、教育成本，促进人口长期均衡发展，提高人口素质。强化出生缺陷综合防治，加强孕前优生检查推广、孕期产后随访服务，强化幼儿护理知识培训，进一步降低生育、养育、教育成本。实施健康儿童计划，完善儿童三级诊疗服务网络，促进儿童早期发展。到</w:t>
      </w:r>
      <w:r>
        <w:t>2025年，实现婚前医学检查、孕前优生健康免费检查和免费产前筛查全覆盖，婴儿死亡率控制在5.6‰以下。</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46</w:t>
            </w:r>
            <w:r>
              <w:rPr>
                <w:rFonts w:hint="eastAsia" w:ascii="楷体" w:hAnsi="楷体" w:eastAsia="楷体"/>
                <w:sz w:val="26"/>
                <w:szCs w:val="26"/>
              </w:rPr>
              <w:t xml:space="preserve"> 养老育幼事业重点项目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养老服务设施</w:t>
            </w:r>
          </w:p>
          <w:p>
            <w:pPr>
              <w:spacing w:before="60" w:line="280" w:lineRule="exact"/>
              <w:ind w:firstLine="420"/>
              <w:rPr>
                <w:rFonts w:ascii="楷体" w:hAnsi="楷体" w:eastAsia="楷体"/>
                <w:sz w:val="26"/>
                <w:szCs w:val="26"/>
              </w:rPr>
            </w:pPr>
            <w:r>
              <w:rPr>
                <w:rFonts w:hint="eastAsia" w:ascii="楷体_GB2312" w:eastAsia="楷体_GB2312"/>
                <w:sz w:val="21"/>
                <w:szCs w:val="21"/>
              </w:rPr>
              <w:t>重点推进水城乌蒙老龄产业综合服务建设项目（乌蒙康复医院）、乡（镇、街道）医养结合、水城老鹰山养老服务中心、水城老年医院、水城康养数据中心等项目建设。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育幼服务设施</w:t>
            </w:r>
          </w:p>
          <w:p>
            <w:pPr>
              <w:spacing w:line="280" w:lineRule="exact"/>
              <w:ind w:firstLine="420"/>
            </w:pPr>
            <w:r>
              <w:rPr>
                <w:rFonts w:hint="eastAsia" w:ascii="楷体_GB2312" w:eastAsia="楷体_GB2312"/>
                <w:sz w:val="21"/>
                <w:szCs w:val="21"/>
              </w:rPr>
              <w:t>建设一批普惠托育机构和托育服务设施，支持和引导社会力量依托社区提供婴幼儿照护服务。</w:t>
            </w:r>
          </w:p>
        </w:tc>
      </w:tr>
    </w:tbl>
    <w:p>
      <w:pPr>
        <w:pStyle w:val="6"/>
        <w:spacing w:before="222"/>
      </w:pPr>
      <w:bookmarkStart w:id="135" w:name="_Toc63250113"/>
      <w:r>
        <w:rPr>
          <w:rFonts w:hint="eastAsia"/>
        </w:rPr>
        <w:t>第五十七章 大力支持国防事业建设</w:t>
      </w:r>
      <w:bookmarkEnd w:id="135"/>
    </w:p>
    <w:p>
      <w:pPr>
        <w:ind w:firstLine="640"/>
      </w:pPr>
      <w:r>
        <w:rPr>
          <w:rFonts w:hint="eastAsia"/>
        </w:rPr>
        <w:t>深入贯彻落实军民深度融合发展战略部署，坚持国防建设与经济建设协调发展，平战结合，统筹兼顾。健全和完善退役军人服务保障体系，全力提升双拥工作质量，加强烈士纪念设施保护管理，巩固和完善国防动员体制，认真做好新时期国防动员工作，提高国防动员工作的信息化水平。加强全民国防教育，增强全民国防观念。加强国防后备力量建设，继续做好拥军优属、拥政爱民工作，巩固军政军民团结。加快推进山地特色现代人民防空体系建设，加快推进人防训练演练疏散基地建设和预备指挥所建设，完善人民防空指挥设施。充分利用学校操场和公园、绿地、广场、道路等城市公共空间建设一批平战结合人防工程。加快建成人防数据运用工程，提高城区人防警报器覆盖率。</w:t>
      </w:r>
    </w:p>
    <w:p>
      <w:pPr>
        <w:ind w:firstLine="640"/>
      </w:pPr>
      <w:r>
        <w:rPr>
          <w:rFonts w:hint="eastAsia"/>
        </w:rPr>
        <w:t>推进“智慧营区”建设，以部队战备执勤，军事训练、营区管理、政工教育、综合保障、日常办公需求为导向，结合部队发展规划，依托物联网、大数据、深度学习等行业先进信息技术，优化机关安防管理建设，创建营区安全管理模式，提升营区信息化水平，增强服务保障能力，建设全域感知、数据分析、信息支撑和智慧应用于一体的智慧人民武装部。</w:t>
      </w:r>
    </w:p>
    <w:p>
      <w:pPr>
        <w:spacing w:after="60"/>
        <w:ind w:firstLine="640"/>
      </w:pPr>
      <w:r>
        <w:rPr>
          <w:rFonts w:hint="eastAsia"/>
        </w:rPr>
        <w:t>推进民兵应急指挥系统建设。依托信息网络技术，构建军地联合的网络平台，形成统一管理的指挥自动化体系，提高指挥协调能力，切实满足日常公文处理、视频会议和应急值班调度等需求，着力把民兵应急队伍与区应急力量拧成“一股绳”，构建资源共建共享的军地一体化应急模式。</w:t>
      </w:r>
    </w:p>
    <w:p>
      <w:pPr>
        <w:pStyle w:val="2"/>
        <w:rPr>
          <w:rFonts w:eastAsiaTheme="minorEastAsia"/>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专栏4</w:t>
            </w:r>
            <w:r>
              <w:rPr>
                <w:rFonts w:ascii="楷体" w:hAnsi="楷体" w:eastAsia="楷体"/>
                <w:sz w:val="26"/>
                <w:szCs w:val="26"/>
              </w:rPr>
              <w:t>7 国防和军队现代化建设重点项目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spacing w:before="60" w:line="280" w:lineRule="exact"/>
              <w:ind w:firstLine="0" w:firstLineChars="0"/>
              <w:rPr>
                <w:rFonts w:ascii="楷体_GB2312" w:eastAsia="楷体_GB2312"/>
                <w:sz w:val="21"/>
                <w:szCs w:val="21"/>
              </w:rPr>
            </w:pPr>
            <w:r>
              <w:rPr>
                <w:rFonts w:hint="eastAsia" w:ascii="楷体_GB2312" w:eastAsia="楷体_GB2312"/>
                <w:b/>
                <w:bCs/>
                <w:sz w:val="21"/>
                <w:szCs w:val="21"/>
              </w:rPr>
              <w:t>0</w:t>
            </w:r>
            <w:r>
              <w:rPr>
                <w:rFonts w:ascii="楷体_GB2312" w:eastAsia="楷体_GB2312"/>
                <w:b/>
                <w:bCs/>
                <w:sz w:val="21"/>
                <w:szCs w:val="21"/>
              </w:rPr>
              <w:t xml:space="preserve">1 </w:t>
            </w:r>
            <w:r>
              <w:rPr>
                <w:rFonts w:hint="eastAsia" w:ascii="楷体_GB2312" w:eastAsia="楷体_GB2312"/>
                <w:b/>
                <w:bCs/>
                <w:sz w:val="21"/>
                <w:szCs w:val="21"/>
              </w:rPr>
              <w:t>智慧营区信息平台数据库建设</w:t>
            </w:r>
          </w:p>
          <w:p>
            <w:pPr>
              <w:spacing w:before="60" w:line="280" w:lineRule="exact"/>
              <w:ind w:firstLine="420"/>
              <w:rPr>
                <w:rFonts w:ascii="楷体" w:hAnsi="楷体" w:eastAsia="楷体"/>
                <w:sz w:val="26"/>
                <w:szCs w:val="26"/>
              </w:rPr>
            </w:pPr>
            <w:r>
              <w:rPr>
                <w:rFonts w:hint="eastAsia" w:ascii="楷体_GB2312" w:eastAsia="楷体_GB2312"/>
                <w:sz w:val="21"/>
                <w:szCs w:val="21"/>
              </w:rPr>
              <w:t>建设内部人员数据库、基层专武干部数据库、物资库存数据库、车辆管理数据库、民兵数据库和定兵人员数据库等。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727" w:type="dxa"/>
          </w:tcPr>
          <w:p>
            <w:pPr>
              <w:spacing w:before="60" w:line="280" w:lineRule="exact"/>
              <w:ind w:firstLine="0" w:firstLineChars="0"/>
              <w:rPr>
                <w:rFonts w:ascii="楷体_GB2312" w:eastAsia="楷体_GB2312"/>
                <w:b/>
                <w:bCs/>
                <w:sz w:val="21"/>
                <w:szCs w:val="21"/>
              </w:rPr>
            </w:pPr>
            <w:r>
              <w:rPr>
                <w:rFonts w:hint="eastAsia" w:ascii="楷体_GB2312" w:eastAsia="楷体_GB2312"/>
                <w:b/>
                <w:bCs/>
                <w:sz w:val="21"/>
                <w:szCs w:val="21"/>
              </w:rPr>
              <w:t>0</w:t>
            </w:r>
            <w:r>
              <w:rPr>
                <w:rFonts w:ascii="楷体_GB2312" w:eastAsia="楷体_GB2312"/>
                <w:b/>
                <w:bCs/>
                <w:sz w:val="21"/>
                <w:szCs w:val="21"/>
              </w:rPr>
              <w:t xml:space="preserve">2 </w:t>
            </w:r>
            <w:r>
              <w:rPr>
                <w:rFonts w:hint="eastAsia" w:ascii="楷体_GB2312" w:eastAsia="楷体_GB2312"/>
                <w:b/>
                <w:bCs/>
                <w:sz w:val="21"/>
                <w:szCs w:val="21"/>
              </w:rPr>
              <w:t>智慧营区信息平台应用系统建设</w:t>
            </w:r>
          </w:p>
          <w:p>
            <w:pPr>
              <w:spacing w:line="280" w:lineRule="exact"/>
              <w:ind w:firstLine="420"/>
            </w:pPr>
            <w:r>
              <w:rPr>
                <w:rFonts w:hint="eastAsia" w:ascii="楷体_GB2312" w:eastAsia="楷体_GB2312"/>
                <w:sz w:val="21"/>
                <w:szCs w:val="21"/>
              </w:rPr>
              <w:t>建设人员管理系统、物资仓库管理系统、出入管理系统、工作管理系统、固定资产管理系统、环境监测管理系统、安全管理系统、耗能管理系统、民兵应急指挥系统。</w:t>
            </w:r>
          </w:p>
        </w:tc>
      </w:tr>
    </w:tbl>
    <w:p>
      <w:pPr>
        <w:pStyle w:val="6"/>
        <w:spacing w:before="222"/>
      </w:pPr>
      <w:bookmarkStart w:id="136" w:name="_Toc63250114"/>
      <w:r>
        <w:rPr>
          <w:rFonts w:hint="eastAsia"/>
        </w:rPr>
        <w:t>第五十八章</w:t>
      </w:r>
      <w:r>
        <w:t xml:space="preserve"> 扎实做好民族宗教工作</w:t>
      </w:r>
      <w:bookmarkEnd w:id="136"/>
    </w:p>
    <w:p>
      <w:pPr>
        <w:spacing w:after="120"/>
        <w:ind w:firstLine="640"/>
      </w:pPr>
      <w:r>
        <w:rPr>
          <w:rFonts w:hint="eastAsia"/>
        </w:rPr>
        <w:t>不断增强各族群众对伟大祖国、中华民族、中华文化、中国共产党、中国特色社会主义的认同，以铸牢中华民族共同体意识为主线，全面深入持久开展民族团结进步创建工作。加强各民族交往交流交融，促进各民族共同团结奋斗、共同繁荣发展。“十四五”期间，力争成功创建省级民族团结进步示范区和国家级民族团结进步示范区。开展国家通用语言文字培训，提升国家通用语言文字普及率，增进各民族语言相通、心灵相融、和睦相处。把乡村振兴战略与加快民族事业结合起来，帮助少数民族和民族地区发展经济、文化和社会事业，加强对民族地区的政策扶持，加大财政支出力度，不断巩固提升民族地区生产生活条件。积极培养选拔少数民族干部和各类人才，支持少数民族优秀文化的挖掘、保护、传承、发展和创新。全面贯彻党的宗教工作方针，坚持我国宗教的中国化方向，积极引导宗教与社会主义社会相适应。</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pStyle w:val="2"/>
              <w:jc w:val="center"/>
              <w:rPr>
                <w:rFonts w:ascii="楷体" w:hAnsi="楷体" w:eastAsia="楷体"/>
                <w:sz w:val="26"/>
                <w:szCs w:val="26"/>
              </w:rPr>
            </w:pPr>
            <w:r>
              <w:rPr>
                <w:rFonts w:hint="eastAsia" w:ascii="楷体" w:hAnsi="楷体" w:eastAsia="楷体"/>
                <w:sz w:val="26"/>
                <w:szCs w:val="26"/>
              </w:rPr>
              <w:t>专栏4</w:t>
            </w:r>
            <w:r>
              <w:rPr>
                <w:rFonts w:ascii="楷体" w:hAnsi="楷体" w:eastAsia="楷体"/>
                <w:sz w:val="26"/>
                <w:szCs w:val="26"/>
              </w:rPr>
              <w:t>8</w:t>
            </w:r>
            <w:r>
              <w:rPr>
                <w:rFonts w:hint="eastAsia" w:ascii="楷体" w:hAnsi="楷体" w:eastAsia="楷体"/>
                <w:sz w:val="26"/>
                <w:szCs w:val="26"/>
              </w:rPr>
              <w:t xml:space="preserve">  民族工作重点项目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Pr>
          <w:p>
            <w:pPr>
              <w:wordWrap w:val="0"/>
              <w:spacing w:before="60" w:line="280" w:lineRule="exact"/>
              <w:ind w:firstLine="0" w:firstLineChars="0"/>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0</w:t>
            </w:r>
            <w:r>
              <w:rPr>
                <w:rFonts w:ascii="楷体_GB2312" w:hAnsi="楷体_GB2312" w:eastAsia="楷体_GB2312" w:cs="楷体_GB2312"/>
                <w:b/>
                <w:bCs/>
                <w:sz w:val="21"/>
                <w:szCs w:val="21"/>
              </w:rPr>
              <w:t xml:space="preserve">1 </w:t>
            </w:r>
            <w:r>
              <w:rPr>
                <w:rFonts w:hint="eastAsia" w:ascii="楷体_GB2312" w:hAnsi="楷体_GB2312" w:eastAsia="楷体_GB2312" w:cs="楷体_GB2312"/>
                <w:b/>
                <w:bCs/>
                <w:sz w:val="21"/>
                <w:szCs w:val="21"/>
              </w:rPr>
              <w:t>民族文化传承保护</w:t>
            </w:r>
          </w:p>
          <w:p>
            <w:pPr>
              <w:wordWrap w:val="0"/>
              <w:spacing w:before="60" w:line="280" w:lineRule="exact"/>
              <w:ind w:firstLine="420"/>
              <w:rPr>
                <w:rFonts w:ascii="楷体" w:hAnsi="楷体" w:eastAsia="楷体"/>
                <w:sz w:val="26"/>
                <w:szCs w:val="26"/>
              </w:rPr>
            </w:pPr>
            <w:r>
              <w:rPr>
                <w:rFonts w:hint="eastAsia" w:ascii="楷体_GB2312" w:hAnsi="宋体" w:eastAsia="楷体_GB2312" w:cs="宋体"/>
                <w:sz w:val="21"/>
                <w:szCs w:val="21"/>
              </w:rPr>
              <w:t>打造陡箐、海坪、米箩、龙场四个民族文化园（少数民族文化传承体验馆）；建设一所民族文化博物馆。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727" w:type="dxa"/>
          </w:tcPr>
          <w:p>
            <w:pPr>
              <w:wordWrap w:val="0"/>
              <w:spacing w:before="60" w:line="280" w:lineRule="exact"/>
              <w:ind w:firstLine="0" w:firstLineChars="0"/>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0</w:t>
            </w:r>
            <w:r>
              <w:rPr>
                <w:rFonts w:ascii="楷体_GB2312" w:hAnsi="楷体_GB2312" w:eastAsia="楷体_GB2312" w:cs="楷体_GB2312"/>
                <w:b/>
                <w:bCs/>
                <w:sz w:val="21"/>
                <w:szCs w:val="21"/>
              </w:rPr>
              <w:t xml:space="preserve">2 </w:t>
            </w:r>
            <w:r>
              <w:rPr>
                <w:rFonts w:hint="eastAsia" w:ascii="楷体_GB2312" w:hAnsi="楷体_GB2312" w:eastAsia="楷体_GB2312" w:cs="楷体_GB2312"/>
                <w:b/>
                <w:bCs/>
                <w:sz w:val="21"/>
                <w:szCs w:val="21"/>
              </w:rPr>
              <w:t>少数民族特色村寨示范建设</w:t>
            </w:r>
          </w:p>
          <w:p>
            <w:pPr>
              <w:wordWrap w:val="0"/>
              <w:spacing w:line="280" w:lineRule="exact"/>
              <w:ind w:firstLine="420"/>
              <w:rPr>
                <w:rFonts w:eastAsiaTheme="minorEastAsia"/>
              </w:rPr>
            </w:pPr>
            <w:r>
              <w:rPr>
                <w:rFonts w:hint="eastAsia" w:ascii="楷体_GB2312" w:hAnsi="宋体" w:eastAsia="楷体_GB2312" w:cs="宋体"/>
                <w:sz w:val="21"/>
                <w:szCs w:val="21"/>
              </w:rPr>
              <w:t>重点打造补那、打靶、陡箐、倮么、新发、大田、阿娄社区、娱乐、天门、大寨等少数民族特色村寨示范村10个以上。</w:t>
            </w:r>
          </w:p>
        </w:tc>
      </w:tr>
    </w:tbl>
    <w:p>
      <w:pPr>
        <w:pStyle w:val="5"/>
      </w:pPr>
      <w:bookmarkStart w:id="137" w:name="_Toc63250115"/>
      <w:r>
        <w:rPr>
          <w:rFonts w:hint="eastAsia"/>
        </w:rPr>
        <w:t>第十四篇 全面强化安全保障，高质量推进社会治理现代化</w:t>
      </w:r>
      <w:bookmarkEnd w:id="137"/>
    </w:p>
    <w:p>
      <w:pPr>
        <w:ind w:firstLine="640"/>
      </w:pPr>
      <w:r>
        <w:rPr>
          <w:rFonts w:hint="eastAsia"/>
        </w:rPr>
        <w:t>坚持把安全发展贯穿高质量发展的各领域全过程，系统治理、依法治理、综合治理、源头治理，走好</w:t>
      </w:r>
      <w:r>
        <w:rPr>
          <w:rFonts w:hint="eastAsia"/>
          <w:lang w:eastAsia="zh-CN"/>
        </w:rPr>
        <w:t>康养水城</w:t>
      </w:r>
      <w:r>
        <w:rPr>
          <w:rFonts w:hint="eastAsia"/>
        </w:rPr>
        <w:t>新时代社会治理现代化之路。</w:t>
      </w:r>
    </w:p>
    <w:p>
      <w:pPr>
        <w:pStyle w:val="6"/>
        <w:spacing w:before="222"/>
      </w:pPr>
      <w:bookmarkStart w:id="138" w:name="_Toc63250116"/>
      <w:r>
        <w:rPr>
          <w:rFonts w:hint="eastAsia"/>
        </w:rPr>
        <w:t>第五十九章 全面推进债务风险防范</w:t>
      </w:r>
      <w:bookmarkEnd w:id="138"/>
    </w:p>
    <w:p>
      <w:pPr>
        <w:ind w:firstLine="640"/>
      </w:pPr>
      <w:r>
        <w:rPr>
          <w:rFonts w:hint="eastAsia"/>
        </w:rPr>
        <w:t>立足新发展阶段的新要求，增强风险意识，强化底线思维，统筹发展和安全，坚持问题导向，坚持源头管控，压实责任，多措并举，有效防范和化解地方债务风险，切实把服务实体经济作为金融改革的出发点和落脚点。</w:t>
      </w:r>
    </w:p>
    <w:p>
      <w:pPr>
        <w:ind w:firstLine="0" w:firstLineChars="0"/>
        <w:jc w:val="center"/>
        <w:rPr>
          <w:b/>
          <w:bCs/>
        </w:rPr>
      </w:pPr>
      <w:r>
        <w:rPr>
          <w:rFonts w:hint="eastAsia"/>
          <w:b/>
          <w:bCs/>
        </w:rPr>
        <w:t>第一节 高度重视和有效化解地方债务风险</w:t>
      </w:r>
    </w:p>
    <w:p>
      <w:pPr>
        <w:ind w:firstLine="640"/>
      </w:pPr>
      <w:r>
        <w:rPr>
          <w:rFonts w:hint="eastAsia"/>
        </w:rPr>
        <w:t>加强经济安全风险预警、防控机制和能力建设，防范化解经济领域重大风险，牢牢守住不发生系统性金融风险的底线，多措并举化解存量债务，形成良性的可持续政府投融资机制。合理确定债务规模，保证政府债务与经济发展水平和财政承受能力相适应。</w:t>
      </w:r>
    </w:p>
    <w:p>
      <w:pPr>
        <w:ind w:firstLine="640"/>
      </w:pPr>
      <w:r>
        <w:rPr>
          <w:rFonts w:hint="eastAsia"/>
        </w:rPr>
        <w:t>强化增收节支，打造节约型政府。牢固树立过紧日子、厉行节约的长效机制，倡导艰苦奋斗、勤俭节约的作风。优化财政支出，缩减资本性支出，压缩一般性支出。</w:t>
      </w:r>
    </w:p>
    <w:p>
      <w:pPr>
        <w:ind w:firstLine="640"/>
      </w:pPr>
      <w:r>
        <w:rPr>
          <w:rFonts w:hint="eastAsia"/>
        </w:rPr>
        <w:t>摸清政府债务底数，逐笔排查，逐项甄别，全面准确把握债务情况，强化纵向横向沟通协作，进一步完善台账管理。统筹施策，分类化解，</w:t>
      </w:r>
      <w:r>
        <w:t>采用不同的方式和途径来分类化解存量债务。努力拓宽偿债渠道</w:t>
      </w:r>
      <w:r>
        <w:rPr>
          <w:rFonts w:hint="eastAsia"/>
        </w:rPr>
        <w:t>，控制项目规模，统筹政府收</w:t>
      </w:r>
      <w:r>
        <w:t>入</w:t>
      </w:r>
      <w:r>
        <w:rPr>
          <w:rFonts w:hint="eastAsia"/>
        </w:rPr>
        <w:t>，做好</w:t>
      </w:r>
      <w:r>
        <w:t>国有资产</w:t>
      </w:r>
      <w:r>
        <w:rPr>
          <w:rFonts w:hint="eastAsia"/>
        </w:rPr>
        <w:t>保值增值，</w:t>
      </w:r>
      <w:r>
        <w:t>引入社会资本</w:t>
      </w:r>
      <w:r>
        <w:rPr>
          <w:rFonts w:hint="eastAsia"/>
        </w:rPr>
        <w:t>，有序推动</w:t>
      </w:r>
      <w:r>
        <w:t>债务重组</w:t>
      </w:r>
      <w:r>
        <w:rPr>
          <w:rFonts w:hint="eastAsia"/>
        </w:rPr>
        <w:t>。</w:t>
      </w:r>
      <w:r>
        <w:t>鼓励以市场化手段分类分步稳妥推进存量债务化解。</w:t>
      </w:r>
      <w:r>
        <w:rPr>
          <w:rFonts w:hint="eastAsia"/>
        </w:rPr>
        <w:t>对竞争性项目和有经营收益的经营性项目形成的，或者是已成为市场化企业的债务，应剥离政府偿债责任，主要用项目自身收益来偿还，必要时地方政府可给予适当财政补贴；对无经营收益的公益性项目形成的政府负有偿还责任的债务，应制定偿还计划，通过预算安排落实偿债资金；对还本付息压力较大、偿债出现困难、债务风险较大的行业和企业，进行严密动态监控，采取有效措施，防止财政风险向金融风险转化。对政府负有偿还责任之外的其他相关债务，要严格审批和控制规模。</w:t>
      </w:r>
    </w:p>
    <w:p>
      <w:pPr>
        <w:ind w:firstLine="640"/>
      </w:pPr>
      <w:r>
        <w:rPr>
          <w:rFonts w:hint="eastAsia"/>
        </w:rPr>
        <w:t>严控项目审批，未开工建设、项目资金来源未落实的项目一律不得开工建设；当前实施必要性不大的项目，予以停建；对分期开工建设的项目，已建部分如能够独立运行，未建部分缓建；如果已建部分不能独立运行需要配套的，完善配套设施，未建部分停建；对擅自扩大规模、提高标准、超前建设的在建项目，结合实际需求依法依规压缩投资规模。全面清理、严肃查处“边勘测、边设计、边施工”项目，以及化整为零、越权审批等行为。</w:t>
      </w:r>
    </w:p>
    <w:p>
      <w:pPr>
        <w:ind w:firstLine="640"/>
      </w:pPr>
      <w:r>
        <w:rPr>
          <w:rFonts w:hint="eastAsia"/>
        </w:rPr>
        <w:t>建立和完善政府债务管理的各项制度。建立政府债务信息公开披露制度、严格的债务投资决策责任制、偿债准备金制度、地方政府担保等制度体系。建立金融风险分级预警机制，防止风险出现溢出效应。加强对重点行业、重点企业运行情况及关联金融风险的监测、判断，建立金融风险预警报告机制，并根据金融风险的紧急程度和影响范围设定不同的风险等级，分别制定相应的应急预案，防范出现区域性金融风险。</w:t>
      </w:r>
      <w:r>
        <w:t>充分考虑经济发展水平、财政能力、负债率、偿债率、债务依存度等因素，并根据现实情况不断对预警系统进行调整和完善。</w:t>
      </w:r>
    </w:p>
    <w:p>
      <w:pPr>
        <w:ind w:firstLine="0" w:firstLineChars="0"/>
        <w:jc w:val="center"/>
        <w:rPr>
          <w:b/>
          <w:bCs/>
        </w:rPr>
      </w:pPr>
      <w:r>
        <w:rPr>
          <w:rFonts w:hint="eastAsia"/>
          <w:b/>
          <w:bCs/>
        </w:rPr>
        <w:t>第二节 优化财源结构壮大财政实力</w:t>
      </w:r>
    </w:p>
    <w:p>
      <w:pPr>
        <w:ind w:firstLine="640"/>
      </w:pPr>
      <w:r>
        <w:rPr>
          <w:rFonts w:hint="eastAsia"/>
        </w:rPr>
        <w:t>切实增强财源建设工作的紧迫感和使命感，持续推动财源建设。把加大财源建设力度、优化财源结构、提高财税质量、培育新的财源支柱和财源新增长点作为财政可持续发展的根本出路。坚持把发展作为第一要务，厚植涵养壮大财源，优化财政收支结构，提高财政资金使用效益，不断提升财税质量、财政实力。</w:t>
      </w:r>
    </w:p>
    <w:p>
      <w:pPr>
        <w:ind w:firstLine="640"/>
      </w:pPr>
      <w:r>
        <w:rPr>
          <w:rFonts w:hint="eastAsia"/>
        </w:rPr>
        <w:t>积极做大财源总量，切实提高财税质量，千方百计壮大财政实力和培育增收潜力。努力培植财源，扶强实体经济，积极出台财政扶持政策，支持民营经济和实体经济发展壮大。强力推进项目建设、努力培育更多层级更具实力的市场主体，精准帮扶实体企业、壮大实体经济，夯实财源基础。发挥财政资金引导和放大效应，推进产业基金、金融资本和财政资金深度融合，撬动社会资本金融资本支持实体经济发展。</w:t>
      </w:r>
    </w:p>
    <w:p>
      <w:pPr>
        <w:ind w:firstLine="640"/>
      </w:pPr>
      <w:r>
        <w:rPr>
          <w:rFonts w:hint="eastAsia"/>
        </w:rPr>
        <w:t>优化财源结构，提升质量，加快打造特色支柱产业，不断完善和延伸产业链条，发展壮大产业园区，持续推动产业升级、财源结构优化。积极招商引资，加强项目建设，对大项目、好项目、重点项目加大支持力度。用好财税政策，提高效益，用足用活国家财税政策，引入新机制、新理念、新模式，充分发挥财政资金“四两拨千斤”的作用，增强财税资金使用效益，真正把政策转换为财税效益。</w:t>
      </w:r>
    </w:p>
    <w:p>
      <w:pPr>
        <w:ind w:firstLine="640"/>
      </w:pPr>
      <w:r>
        <w:rPr>
          <w:rFonts w:hint="eastAsia"/>
        </w:rPr>
        <w:t>进一步增强财源建设工作合力和执行力。加强组织领导，把财源建设放在财税工作首位，一把手亲自抓，各级领导干部共同参与，及时解决困难问题，合力推动财源建设。强化执行落实，加强配合沟通，形成抓财源建设的强大合力。严格考核调度，将紧扣年度目标，定期调度督查，及时通报情况，严格奖惩问责。</w:t>
      </w:r>
    </w:p>
    <w:p>
      <w:pPr>
        <w:ind w:firstLine="0" w:firstLineChars="0"/>
        <w:jc w:val="center"/>
        <w:rPr>
          <w:b/>
          <w:bCs/>
        </w:rPr>
      </w:pPr>
      <w:r>
        <w:rPr>
          <w:rFonts w:hint="eastAsia"/>
          <w:b/>
          <w:bCs/>
        </w:rPr>
        <w:t>第三节 加强税源管理</w:t>
      </w:r>
      <w:r>
        <w:rPr>
          <w:b/>
          <w:bCs/>
        </w:rPr>
        <w:t>提升税收征管效能</w:t>
      </w:r>
    </w:p>
    <w:p>
      <w:pPr>
        <w:ind w:firstLine="640"/>
      </w:pPr>
      <w:r>
        <w:rPr>
          <w:rFonts w:hint="eastAsia"/>
        </w:rPr>
        <w:t>按照“</w:t>
      </w:r>
      <w:r>
        <w:t>放管服</w:t>
      </w:r>
      <w:r>
        <w:rPr>
          <w:rFonts w:hint="eastAsia"/>
        </w:rPr>
        <w:t>”</w:t>
      </w:r>
      <w:r>
        <w:t>改革要求，以分类分级管理为基础，以税收风险管理为导向，以现代信息技术为依托，推进税收征管体制、机制和制度创新，努力构建集约高效的现代税收征管方式，进一步</w:t>
      </w:r>
      <w:r>
        <w:rPr>
          <w:rFonts w:hint="eastAsia"/>
        </w:rPr>
        <w:t>提升税收征管效能</w:t>
      </w:r>
      <w:r>
        <w:t>。</w:t>
      </w:r>
    </w:p>
    <w:p>
      <w:pPr>
        <w:ind w:firstLine="640"/>
      </w:pPr>
      <w:r>
        <w:rPr>
          <w:rFonts w:hint="eastAsia"/>
        </w:rPr>
        <w:t>强化征收管理，提高效率，做到应收尽收。针对水城境内税源，建立分类分级的差别化管理制度，对税源进行科学分类，强化大数据分析，进一步加强税源控管,深入挖掘税收潜力，提高税收征管质量和服务效能。</w:t>
      </w:r>
    </w:p>
    <w:p>
      <w:pPr>
        <w:ind w:firstLine="640"/>
      </w:pPr>
      <w:r>
        <w:rPr>
          <w:rFonts w:hint="eastAsia"/>
        </w:rPr>
        <w:t>完善税收管理员制度，做好管户分配工作，明确工作任务，加强工作质量考核和监督，提高征管质效，抓好纳税人户籍管理，注重实地巡查，减少漏征漏管户。充分有效利用征管信息，加强税源的分析、监控，对辖区内纳税人精准划分，精准管理。健全税源管理体系，确保抓好税收精细化管理。</w:t>
      </w:r>
    </w:p>
    <w:p>
      <w:pPr>
        <w:ind w:firstLine="0" w:firstLineChars="0"/>
        <w:jc w:val="center"/>
        <w:rPr>
          <w:b/>
          <w:bCs/>
        </w:rPr>
      </w:pPr>
      <w:r>
        <w:rPr>
          <w:rFonts w:hint="eastAsia"/>
          <w:b/>
          <w:bCs/>
        </w:rPr>
        <w:t>第四节 积极向上争取项目资金</w:t>
      </w:r>
    </w:p>
    <w:p>
      <w:pPr>
        <w:ind w:firstLine="640"/>
      </w:pPr>
      <w:r>
        <w:rPr>
          <w:rFonts w:hint="eastAsia"/>
        </w:rPr>
        <w:t>围绕上级政策导向，精心谋划项目，积极向上争取政策支持和资金支持，增加有效资金供给。统筹上级转移支付安排年度预算化解部分债务。</w:t>
      </w:r>
    </w:p>
    <w:p>
      <w:pPr>
        <w:ind w:firstLine="640"/>
      </w:pPr>
      <w:r>
        <w:rPr>
          <w:rFonts w:hint="eastAsia"/>
        </w:rPr>
        <w:t>全面清理财政性资金借款，全面清收国库、专户、垫付等各种形式外借的财政性资金。盘活财政存量资金，充分利用年度预算资金、超收收入、国有资本经营预算收入、往年财政结余资金和项目结转资金。建立地方应急资金池。</w:t>
      </w:r>
    </w:p>
    <w:p>
      <w:pPr>
        <w:ind w:firstLine="0" w:firstLineChars="0"/>
        <w:jc w:val="center"/>
        <w:rPr>
          <w:b/>
          <w:bCs/>
        </w:rPr>
      </w:pPr>
      <w:r>
        <w:rPr>
          <w:rFonts w:hint="eastAsia"/>
          <w:b/>
          <w:bCs/>
        </w:rPr>
        <w:t>第五节 盘活国有资产强化运营管理</w:t>
      </w:r>
    </w:p>
    <w:p>
      <w:pPr>
        <w:ind w:firstLine="640"/>
      </w:pPr>
      <w:r>
        <w:rPr>
          <w:rFonts w:hint="eastAsia"/>
        </w:rPr>
        <w:t>及时梳理能变现资产处置清单，包括清理一批建设用地面向市场挂牌出售，统筹部分土地出让收益、土地整治收益用于化解债务。加快推进“投转固”工作，完善相关手续，优化收益性项目功能，通过出售或抵押贷款等多种方式变现。积极对接证券公司，推进资产证券化。</w:t>
      </w:r>
    </w:p>
    <w:p>
      <w:pPr>
        <w:ind w:firstLine="640"/>
      </w:pPr>
      <w:r>
        <w:rPr>
          <w:rFonts w:hint="eastAsia"/>
        </w:rPr>
        <w:t>盘活处置事业单位资产，通过划转、拍卖、转让、置换等方式处置与国计民生关系不大的行政事业单位经营性和闲置国有资产。盘活处置国有资产，通过拍卖、转让、合作、置换等方式处置平台公司资产。减持部分国有企业股权，转让部分市政公用事业特许经营权，剥离债务资产，将部分具有稳定现金流、有较高预期收益的行政事业单位债务资产划转给承接能力和运营能力较强的国有企业及转型后的融资平台。探索组建国资公司对国有资产进行收购，防止国有资产贱卖、贬值、流失，强化运营管理，实现效益最大化。</w:t>
      </w:r>
    </w:p>
    <w:p>
      <w:pPr>
        <w:ind w:firstLine="0" w:firstLineChars="0"/>
        <w:jc w:val="center"/>
        <w:rPr>
          <w:b/>
          <w:bCs/>
        </w:rPr>
      </w:pPr>
      <w:r>
        <w:rPr>
          <w:rFonts w:hint="eastAsia"/>
          <w:b/>
          <w:bCs/>
        </w:rPr>
        <w:t>第六节 着力推进国企改革和政府平台发展</w:t>
      </w:r>
    </w:p>
    <w:p>
      <w:pPr>
        <w:ind w:firstLine="640"/>
      </w:pPr>
      <w:r>
        <w:rPr>
          <w:rFonts w:hint="eastAsia"/>
        </w:rPr>
        <w:t>按照“分类管理、区别对待”的原则，整合规范融资平台公司。清理撤并乡（镇、街道）、园区管委会下设公司，归口到区属国有企业，杜绝乡（镇、街道）及园区管委会违法违规举借债务。不得再通过融资平台公司变相举借政府负有偿还责任的债务，坚决制止为融资平台公司等单位举借债务违规提供担保和承诺。</w:t>
      </w:r>
    </w:p>
    <w:p>
      <w:pPr>
        <w:ind w:firstLine="640"/>
      </w:pPr>
      <w:r>
        <w:rPr>
          <w:rFonts w:hint="eastAsia"/>
        </w:rPr>
        <w:t>应切实处理好融资平台公司新建项目和在建项目的融资问题，严控新开工项目，防止盲目铺摊子；对在建项目，地方政府应积极通过财政预算安排或市场化方式解决后续资金的来源问题。加强对高风险债务单位的监控指导和风险提示，提升应急保障能力。加快闲置资金支付进度。</w:t>
      </w:r>
    </w:p>
    <w:p>
      <w:pPr>
        <w:ind w:firstLine="640"/>
      </w:pPr>
      <w:r>
        <w:rPr>
          <w:rFonts w:hint="eastAsia"/>
        </w:rPr>
        <w:t>优化公司法人结构，推动公司实体化转型。各平台公司结合自身的资源禀赋和特色优势，走出一条契合自身的实体化转型之路，通过加强经营所得，做实做大公司资产，提升自我保障和造血功能。优化国有公司财务核算审批制度。着力做大现金流，增强流动资金贷款等融资能力。完善国有企业法人治理结构，健全公司章程，完善出资人、股东会、董事会、经理层、监事会、党组织和职工代表大会。</w:t>
      </w:r>
    </w:p>
    <w:p>
      <w:pPr>
        <w:ind w:firstLine="0" w:firstLineChars="0"/>
        <w:jc w:val="center"/>
        <w:rPr>
          <w:b/>
          <w:bCs/>
        </w:rPr>
      </w:pPr>
      <w:r>
        <w:rPr>
          <w:rFonts w:hint="eastAsia"/>
          <w:b/>
          <w:bCs/>
        </w:rPr>
        <w:t>第七节 推进金融改革完善融资机制</w:t>
      </w:r>
    </w:p>
    <w:p>
      <w:pPr>
        <w:ind w:firstLine="640"/>
      </w:pPr>
      <w:r>
        <w:rPr>
          <w:rFonts w:hint="eastAsia"/>
        </w:rPr>
        <w:t>合理推进政府与社会资本合作（P</w:t>
      </w:r>
      <w:r>
        <w:t>PP</w:t>
      </w:r>
      <w:r>
        <w:rPr>
          <w:rFonts w:hint="eastAsia"/>
        </w:rPr>
        <w:t>）模式，对适合采用P</w:t>
      </w:r>
      <w:r>
        <w:t>PP</w:t>
      </w:r>
      <w:r>
        <w:rPr>
          <w:rFonts w:hint="eastAsia"/>
        </w:rPr>
        <w:t>模式的具有稳定收益的基础设施和公共服务项目，积极采用T</w:t>
      </w:r>
      <w:r>
        <w:t>OT</w:t>
      </w:r>
      <w:r>
        <w:rPr>
          <w:rFonts w:hint="eastAsia"/>
        </w:rPr>
        <w:t>和</w:t>
      </w:r>
      <w:r>
        <w:t>BOT</w:t>
      </w:r>
      <w:r>
        <w:rPr>
          <w:rFonts w:hint="eastAsia"/>
        </w:rPr>
        <w:t>模式。积极推进债转股，对债务形成的可经营、有稳定收益的资产，通过与债权人平等沟通协商，将债务转换为股权。</w:t>
      </w:r>
    </w:p>
    <w:p>
      <w:pPr>
        <w:ind w:firstLine="640"/>
      </w:pPr>
      <w:r>
        <w:rPr>
          <w:rFonts w:hint="eastAsia"/>
        </w:rPr>
        <w:t>合理统筹现有债务，积极对接金融机构，在可控范围内，举新还旧或协商展期化解。积极与债权人协商采取适当展期、债务重组等方式维持资金周转，通过并购融资、保理、融资租赁等方式降息，通过签订新合同、修订原合同条款，重新约定债务成本和还款期限，申请地方政府债务限额内发行政府债券置换，举新还旧，举借长期债务置换短期高息债务。</w:t>
      </w:r>
    </w:p>
    <w:p>
      <w:pPr>
        <w:ind w:firstLine="640"/>
      </w:pPr>
      <w:r>
        <w:t>依法依规处置非标债务</w:t>
      </w:r>
      <w:r>
        <w:rPr>
          <w:rFonts w:hint="eastAsia"/>
        </w:rPr>
        <w:t>，</w:t>
      </w:r>
      <w:r>
        <w:t>全面清理甄别以非标准化债务融资工具举借的隐性债务，对违法违规举借的，依法依规处置</w:t>
      </w:r>
      <w:r>
        <w:rPr>
          <w:rFonts w:hint="eastAsia"/>
        </w:rPr>
        <w:t>；</w:t>
      </w:r>
      <w:r>
        <w:t>对合法合规举借的，通过银行贷款、债转股、资产管理公司收购资产等方式，置换非标产品处置风险</w:t>
      </w:r>
      <w:r>
        <w:rPr>
          <w:rFonts w:hint="eastAsia"/>
        </w:rPr>
        <w:t>。</w:t>
      </w:r>
      <w:r>
        <w:t>全面加强各类金融活动的监管，引导互联网金融等金融新业态健康发展，对金融乱象和金融腐败的问题，发现一起严肃查处一起。</w:t>
      </w:r>
    </w:p>
    <w:p>
      <w:pPr>
        <w:pStyle w:val="6"/>
        <w:spacing w:before="222"/>
      </w:pPr>
      <w:r>
        <w:br w:type="page"/>
      </w:r>
    </w:p>
    <w:p>
      <w:pPr>
        <w:pStyle w:val="6"/>
        <w:spacing w:before="222"/>
      </w:pPr>
      <w:bookmarkStart w:id="139" w:name="_Toc63250117"/>
      <w:r>
        <w:rPr>
          <w:rFonts w:hint="eastAsia"/>
        </w:rPr>
        <w:t>第六十章 全面推进平安水城建设</w:t>
      </w:r>
      <w:bookmarkEnd w:id="139"/>
    </w:p>
    <w:p>
      <w:pPr>
        <w:ind w:firstLine="640"/>
      </w:pPr>
      <w:r>
        <w:rPr>
          <w:rFonts w:hint="eastAsia"/>
        </w:rPr>
        <w:t>建立健全新形势下社会治安防控体系，推动社会治理和服务向基层和农村下移，着力构建社会诚信体系，打造安全和谐、公平公正的社会环境，全面提升全区人民群众的安全感。</w:t>
      </w:r>
    </w:p>
    <w:p>
      <w:pPr>
        <w:spacing w:line="570" w:lineRule="exact"/>
        <w:ind w:firstLine="0" w:firstLineChars="0"/>
        <w:jc w:val="center"/>
      </w:pPr>
      <w:r>
        <w:rPr>
          <w:rFonts w:hint="eastAsia"/>
          <w:b/>
          <w:bCs/>
        </w:rPr>
        <w:t>第一节 加强社会治安管理</w:t>
      </w:r>
    </w:p>
    <w:p>
      <w:pPr>
        <w:ind w:firstLine="640"/>
      </w:pPr>
      <w:r>
        <w:rPr>
          <w:rFonts w:hint="eastAsia"/>
        </w:rPr>
        <w:t>统筹扎实开展社会治理现代化试点城市建设，推进“一中心一张网十联户”基层社会治理创新，推动社会治理和服务向基层和农村下移。全面加强矛盾纠纷排查化解，实现小事不出网格和村居、大事不出乡镇、矛盾不上交；狠抓命案风险防控，完善突出违法犯罪打击整治长效机制，依法严厉打击各类违法犯罪活动，推进重点行业领域突出问题整治，巩固提升扫黑除恶专项斗争成果，常态化推进扫黑除恶专项斗争；创新完善科技支撑社会治理机制，加强省际、市际、区（县）际出入口及重点路段、重要部位治安防控圈建设，依托“天网工程”“雪亮工程”建成新型城乡公共安全视频图像综合应用平台；依托综治信息系统，建设社会治理智能化平台，构建县域社会治理信息综合、指挥调度、联动处置体系。全面加强“人、地、物、事、网、组织”等基本治安要素管控，全面提升城乡社区公共服务、公共管理、公共安全的管理与服务水平，实现社会治理社会化、法治化、智能化、专业化，着力打造公平、公正、平安、和谐、稳定的社会环境，全面提升全区人民群众安全感</w:t>
      </w:r>
      <w:r>
        <w:t>。</w:t>
      </w:r>
    </w:p>
    <w:p>
      <w:pPr>
        <w:spacing w:line="570" w:lineRule="exact"/>
        <w:ind w:firstLine="0" w:firstLineChars="0"/>
        <w:jc w:val="center"/>
        <w:rPr>
          <w:b/>
          <w:bCs/>
        </w:rPr>
      </w:pPr>
      <w:r>
        <w:rPr>
          <w:rFonts w:hint="eastAsia"/>
          <w:b/>
          <w:bCs/>
        </w:rPr>
        <w:t>第二节 加强重要领域风险防控</w:t>
      </w:r>
    </w:p>
    <w:p>
      <w:pPr>
        <w:spacing w:line="570" w:lineRule="exact"/>
        <w:ind w:firstLine="640"/>
      </w:pPr>
      <w:r>
        <w:rPr>
          <w:rFonts w:hint="eastAsia"/>
        </w:rPr>
        <w:t>全力筑牢安全发展底板，提高债务、粮食、能源、金融、网络等重点领域防范抵御安全风险能力。坚决维护全区经济社会发展大局稳定。强化集中统一、高效权威的安全领导体制，健全安全战略体系、政策体系、人才体系和运行机制，完善重要领域安全制度。健全安全审查和监管制度，加强安全执法、安全宣传教育，增强全民安全意识。加快推进县域安全体系和安全能力现代化建设，着力防范化解国家安全和社会领域重大风险，落实重大决策社会稳定风险评估制度，坚决维护国家政权安全、制度安全、意识形态安全，全面加强网络安全保障体系和能力建设，严密防范和严厉打击敌对势力渗透、破坏、颠覆、分裂活动。落实能源安全战略和粮食安全战略，提高能源和粮食安全保障水平。</w:t>
      </w:r>
    </w:p>
    <w:p>
      <w:pPr>
        <w:spacing w:line="570" w:lineRule="exact"/>
        <w:ind w:firstLine="0" w:firstLineChars="0"/>
        <w:jc w:val="center"/>
        <w:rPr>
          <w:b/>
          <w:bCs/>
        </w:rPr>
      </w:pPr>
      <w:r>
        <w:rPr>
          <w:rFonts w:hint="eastAsia"/>
          <w:b/>
          <w:bCs/>
        </w:rPr>
        <w:t>第三节 加强防灾减灾救灾能力建设</w:t>
      </w:r>
    </w:p>
    <w:p>
      <w:pPr>
        <w:ind w:firstLine="640"/>
      </w:pPr>
      <w:r>
        <w:rPr>
          <w:rFonts w:hint="eastAsia"/>
        </w:rPr>
        <w:t>建立科学高效的自然灾害防治体系，形成各方齐抓共管、协同配合的自然灾害防治格局。健全防灾减灾救灾管理体制和运行机制，建设自然灾害风险预警系统和应急指挥平台，打造区乡（镇）村三级灾害应急救助体系。实施自然灾害风险调查和重点隐患排查，编制自然灾害综合风险图和综合防治区划图。加强地质灾害隐患排查和综合治理。完善防灾减灾体系，建设应急救援中心，推进自然灾害防治技术装备现代化建设，提高救援队伍专业化技术装备水平。强化消防安全管理体系建设，将消防安全充分融入基层网格管理、干部队伍建设、基础设施建设、全民素质提升、农村房屋改造等系统性工程同步开展，提升属地管理和行业监管的水平和质效，增强村居住宅、生产企业、小型生产经营性场所、高层建筑、人员密集场所等领域防范和化解消防安全风险的能力。</w:t>
      </w:r>
    </w:p>
    <w:p>
      <w:pPr>
        <w:pStyle w:val="6"/>
        <w:spacing w:before="222"/>
      </w:pPr>
      <w:bookmarkStart w:id="140" w:name="_Toc63250118"/>
      <w:r>
        <w:rPr>
          <w:rFonts w:hint="eastAsia"/>
        </w:rPr>
        <w:t>第六十一章 全面推进法治水城建设</w:t>
      </w:r>
      <w:bookmarkEnd w:id="140"/>
    </w:p>
    <w:p>
      <w:pPr>
        <w:ind w:firstLine="640"/>
      </w:pPr>
      <w:r>
        <w:rPr>
          <w:rFonts w:hint="eastAsia"/>
        </w:rPr>
        <w:t>坚持把习近平法治思想贯穿全面依法治区全过程，加快法治政府、法治社会一体建设，推进科学立法、严格执法、公正司法、全民守法。</w:t>
      </w:r>
    </w:p>
    <w:p>
      <w:pPr>
        <w:spacing w:line="570" w:lineRule="exact"/>
        <w:ind w:firstLine="0" w:firstLineChars="0"/>
        <w:jc w:val="center"/>
      </w:pPr>
      <w:r>
        <w:rPr>
          <w:rFonts w:hint="eastAsia"/>
          <w:b/>
          <w:bCs/>
        </w:rPr>
        <w:t>第一节 着力推进法治政府建设</w:t>
      </w:r>
    </w:p>
    <w:p>
      <w:pPr>
        <w:ind w:firstLine="640"/>
      </w:pPr>
      <w:r>
        <w:rPr>
          <w:rFonts w:hint="eastAsia"/>
        </w:rPr>
        <w:t>规范行政决策程序，全面推行法律顾问、公职律师制度，提高重大行政决策法治化和规范化水平。依法全面履行政府职能，完善依法行政制度体系，推进行政决策化、民主化、法治化，坚持严格规范公正文明执法，强化对行政权力的制约与监督。深化综合行政执法体制改革，健全综合行政执法联动协调机制和行政执法、国家监察与刑事司法衔接机制，推进行政复议体制改革。提升基层治理能力，重点做好数据利用，建立数据资源清单管理机制。完善数据权属界定、开放共享，打破各系统、各平台信息孤立的现状。推进数字政府建设，加强数据有序共享。进一步深入推进人民调解多元化体制机制建设，根据《贵州省人民调解条例》的规定，配齐配强各人民调解委员会专职人民调解员，使人民调解工作规范化、专业化得以提升，制度得以完善。深入推进特殊人群服务管理工作，不断完善各部门工作职责。</w:t>
      </w:r>
    </w:p>
    <w:p>
      <w:pPr>
        <w:spacing w:line="570" w:lineRule="exact"/>
        <w:ind w:firstLine="0" w:firstLineChars="0"/>
        <w:jc w:val="center"/>
      </w:pPr>
      <w:r>
        <w:rPr>
          <w:rFonts w:hint="eastAsia"/>
          <w:b/>
          <w:bCs/>
        </w:rPr>
        <w:t>第二节 着力推进司法公正</w:t>
      </w:r>
    </w:p>
    <w:p>
      <w:pPr>
        <w:ind w:firstLine="640"/>
      </w:pPr>
      <w:r>
        <w:rPr>
          <w:rFonts w:hint="eastAsia"/>
        </w:rPr>
        <w:t>贯彻执行司法机关依法独立公正行使审判权和检察权的制度，落实司法责任制，建立健全司法人员履行法定职责保护机制。加大司法机关的监督力度，构建开放、动态、透明、便民的阳光司法机制，保证司法监督的及时性和有效性。优化司法职权运行机制，加强司法内部监督制约。全面推行行政执法公示制度、执法全过程记录制度、重大执法决定法制审核制度，确保依法履行法定职责。完善旁听庭审、诉讼档案查询等制度。建立和完善法律援助、司法救助体系。建立司法工作人员廉政档案制度。全面落实严格、规范、公正、文明的执法要求，大力推进公安机关智能执法办案中心、跨部门涉案财物管理和保管场所建设，落实执法全流程记录制度，深入推进执法办案公开，主动接受检察机关法律监督，加快构建系统完备的执法办案体系和规范有力的执法管理体系，确保执法权始终在法治的轨道上运行，不断提高公安工作法治化水平和执法公信力。深化司法责任制综合配套改革，加强政法领域监督制约体系建设，加强数字化、智能化执法和司法办案平台建设。加强乡镇司法所工作力量，增加司法所编制，建立健全工作机构，对新成立街道办事处增设街道司法所及相关配套编制。探索以政府购买服务的形式，委托律师、基层法律服务工作者等社会力量向公民、法人和其他组织提供公共性、公益性、普惠性、兜底性的法律服务，包括：法律援助服务；值班律师法律帮助服务；村（居）法律顾问服务；公共法律服务热线、网络、实体平台法律咨询服务；公益性律师调解、律师代理申诉、律师化解涉法涉诉信访案件服务；公益性公证服务等，进一步助推司法公正透明度。</w:t>
      </w:r>
    </w:p>
    <w:p>
      <w:pPr>
        <w:spacing w:line="570" w:lineRule="exact"/>
        <w:ind w:firstLine="0" w:firstLineChars="0"/>
        <w:jc w:val="center"/>
      </w:pPr>
      <w:r>
        <w:rPr>
          <w:rFonts w:hint="eastAsia"/>
          <w:b/>
          <w:bCs/>
        </w:rPr>
        <w:t>第三节 着力推进法治社会建设</w:t>
      </w:r>
    </w:p>
    <w:p>
      <w:pPr>
        <w:ind w:firstLine="640"/>
      </w:pPr>
      <w:r>
        <w:rPr>
          <w:rFonts w:hint="eastAsia"/>
        </w:rPr>
        <w:t>弘扬社会主义法治精神和法治文化，增强全民法治观念，树立宪法法律至上，法律面前人人平等的法治理念。形成办事依法、遇事找法、解决问题用法、化解矛盾靠法的法治社会。全面落实《中华人民共和国民法典》，加强同《民法典》落实相关联、相配套的制度建设，大力开展“八五”普法，增强群众法律意识。坚持社会主义核心价值观，加强法治教育宣传，深入开展多层次多形式法治创建活动，增强群众法律意识，塑造良好法治环境。全面落实普法责任制，健全普法宣传教育机制，加大媒体公益普法力度，提高普法实效。加强领导干部法治教育，认真落实国家工作人员学法用法制度。加强社区矫正硬件设施建设，强化社区矫正监督管理和教育帮扶，预防和减少社区矫正对象再犯罪，确保社会安全稳定。推动律师教育培训工作。提升律师队伍业务能力，做好律师人才梯队培养、扶持青年律师发展及专业技术晋升；推进事务所规范化、专业化、品牌化建设。统筹政法资源和社会资源，加强法治宣传志愿者队伍建设。进一步完善公共法律服务体系，大力发展律师、公证、司法鉴定等法律服务，强化公共法律服务经费保障。全面开展法治乡村创建，强化市、区、乡、村法治文化阵地建设，争创一批国家级、省级民主法治示范村（居）项目。</w:t>
      </w:r>
    </w:p>
    <w:p>
      <w:pPr>
        <w:pStyle w:val="6"/>
        <w:spacing w:before="222"/>
      </w:pPr>
      <w:bookmarkStart w:id="141" w:name="_Toc63250119"/>
      <w:r>
        <w:rPr>
          <w:rFonts w:hint="eastAsia"/>
        </w:rPr>
        <w:t>第六十二章 全面推进应急体系建设</w:t>
      </w:r>
      <w:bookmarkEnd w:id="141"/>
    </w:p>
    <w:p>
      <w:pPr>
        <w:ind w:firstLine="640"/>
      </w:pPr>
      <w:r>
        <w:rPr>
          <w:rFonts w:hint="eastAsia"/>
        </w:rPr>
        <w:t>健全完善应急管理综合信息化平台，健全完善安全风险分级管控和安全隐患排查治理双重预防控制体系，推进煤矿、道路交通、建筑施工、民爆物品、火灾防控、山岳救援、火灾扑救等领域安全整治，防范化解安全生产重大风险。</w:t>
      </w:r>
    </w:p>
    <w:p>
      <w:pPr>
        <w:spacing w:line="570" w:lineRule="exact"/>
        <w:ind w:firstLine="0" w:firstLineChars="0"/>
        <w:jc w:val="center"/>
        <w:rPr>
          <w:b/>
          <w:bCs/>
        </w:rPr>
      </w:pPr>
      <w:r>
        <w:rPr>
          <w:rFonts w:hint="eastAsia"/>
          <w:b/>
          <w:bCs/>
        </w:rPr>
        <w:t>第一节 建立健全应急管理体制</w:t>
      </w:r>
    </w:p>
    <w:p>
      <w:pPr>
        <w:ind w:firstLine="640"/>
      </w:pPr>
      <w:r>
        <w:rPr>
          <w:rFonts w:hint="eastAsia"/>
        </w:rPr>
        <w:t>健全应急管理体系，加强韧性能力建设，高度重视各类自然灾害、社会安全事件等突发公共事件对水城发展的冲击和影响，</w:t>
      </w:r>
      <w:bookmarkStart w:id="142" w:name="_Hlk56203145"/>
      <w:r>
        <w:rPr>
          <w:rFonts w:hint="eastAsia"/>
        </w:rPr>
        <w:t>强化安全风险会商研判，前置安全防范措施，有效防范安全生产类和自然灾害类风险。</w:t>
      </w:r>
      <w:bookmarkEnd w:id="142"/>
      <w:bookmarkStart w:id="143" w:name="_Hlk56203302"/>
      <w:r>
        <w:rPr>
          <w:rFonts w:hint="eastAsia"/>
        </w:rPr>
        <w:t>重视和加强城市韧性建设，加快建立应急物资储备中心，全力推进应急物资生产基地建设，力争将水城经开区建设成为贵州省应急物资生产基地，提升应急硬实力，促进社会经济的健康发展。</w:t>
      </w:r>
      <w:bookmarkEnd w:id="143"/>
      <w:r>
        <w:rPr>
          <w:rFonts w:hint="eastAsia"/>
        </w:rPr>
        <w:t>持续完善应急管理体制机制，健全完善突出公共卫生事件社会预警机制和重大疫情响应机制，打造医疗防治、物资储备、产能动员“三位一体”公共卫生应急物资保障体系，完善军地联动处置突发公共安全事件机制，切实防范生物安全风险。建设紧急医学救援体系，整合利用和发展航空救援力量，引导社会应急救援力量健康有序发展，加强军民融合，提升应急应战协同保障能力。</w:t>
      </w:r>
    </w:p>
    <w:p>
      <w:pPr>
        <w:ind w:firstLine="640"/>
      </w:pPr>
      <w:r>
        <w:rPr>
          <w:rFonts w:hint="eastAsia"/>
        </w:rPr>
        <w:t>健全灾害事故分级响应机制，健全统一的应急物资保障体系，开展基层应急能力标准化建设，建设应急管理综合信息化平台，提升应急管理信息化水平，提高多灾种综合救援能力，支持矿山、危险化学品、地质灾害、森林防火、山岳等专业救援力量建设。构建县乡村三级灾害应急救助体系，全面提升防灾、减灾、抗灾、救灾能力。健全联防联控机制，共享自然资源、气象、水务、应急、交通、教育、能源、城市管理等部门消息，强化安全风险会商分析研判，准确把握极端气象变化趋势，及时发布预警预报信息，为有效联合防范突发事件做足准备。</w:t>
      </w:r>
    </w:p>
    <w:p>
      <w:pPr>
        <w:ind w:firstLine="640"/>
      </w:pPr>
      <w:r>
        <w:rPr>
          <w:rFonts w:hint="eastAsia"/>
        </w:rPr>
        <w:t>强化安全生产责任落实，持续推进安全生产标准化建设，健全安全风险分级管控和隐患排查治理长效机制，促进企业落实安全生产主体责任，强化安全生产综合督导，推进重点行业（领域）安全专项整治，推进落实安全生产行业监管责任和属地管理责任，有效防范和坚决遏制安全生产重特大事故。加强食药品生产、经营单位监管，严厉打击食药品违法违规行为，防范食药品安全风险。加强特种设备使用单位监管，严厉打击违法违规使用特种设备行为，防范特种设备安全风险。</w:t>
      </w:r>
    </w:p>
    <w:p>
      <w:pPr>
        <w:spacing w:line="570" w:lineRule="exact"/>
        <w:ind w:firstLine="0" w:firstLineChars="0"/>
        <w:jc w:val="center"/>
        <w:rPr>
          <w:b/>
          <w:bCs/>
        </w:rPr>
      </w:pPr>
      <w:r>
        <w:rPr>
          <w:rFonts w:hint="eastAsia"/>
          <w:b/>
          <w:bCs/>
        </w:rPr>
        <w:t>第二节 加强应急能力建设</w:t>
      </w:r>
    </w:p>
    <w:p>
      <w:pPr>
        <w:spacing w:after="120"/>
        <w:ind w:firstLine="640"/>
      </w:pPr>
      <w:r>
        <w:rPr>
          <w:rFonts w:hint="eastAsia"/>
        </w:rPr>
        <w:t>构建全方位、立体化、多层次、综合性的公共安全应急管理网络，加快建立突发应急事件指挥中心</w:t>
      </w:r>
      <w:bookmarkStart w:id="144" w:name="_Hlk56203349"/>
      <w:r>
        <w:rPr>
          <w:rFonts w:hint="eastAsia"/>
        </w:rPr>
        <w:t>，全面提升应急处置能力</w:t>
      </w:r>
      <w:bookmarkEnd w:id="144"/>
      <w:r>
        <w:rPr>
          <w:rFonts w:hint="eastAsia"/>
        </w:rPr>
        <w:t>。优化全区人工影响天气作业炮站布局，打造现代化人工影响作业指挥平台，升级改造比德、蟠龙、顺场等炮站人工影响天气作业装备。</w:t>
      </w:r>
      <w:r>
        <w:t>强化灾害应急宣传和应急科普，提高应急</w:t>
      </w:r>
      <w:r>
        <w:rPr>
          <w:rFonts w:hint="eastAsia"/>
        </w:rPr>
        <w:t>管理全社会动员能力，继续推动安全文化示范企业、综合防灾减灾示范社区等试点示范建设。</w:t>
      </w:r>
      <w:bookmarkStart w:id="145" w:name="_Hlk56203702"/>
      <w:r>
        <w:rPr>
          <w:rFonts w:hint="eastAsia"/>
        </w:rPr>
        <w:t>全面推进应急网格化建设，组建覆盖区-乡镇-村-组的安全生产、应急管理、防灾减灾救灾工作管理队伍，为有效预防和处置突发事件夯实基础。</w:t>
      </w:r>
      <w:bookmarkEnd w:id="145"/>
      <w:r>
        <w:rPr>
          <w:rFonts w:hint="eastAsia"/>
        </w:rPr>
        <w:t>优化全区政府专职消防队伍建设，按照城市消防应急救援力量</w:t>
      </w:r>
      <w:r>
        <w:t>15分钟响应、乡镇半小时响应的要求建设城市消防救援站、乡镇专职消防站、村居微型消防站三级应急力量。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专栏4</w:t>
            </w:r>
            <w:r>
              <w:rPr>
                <w:rFonts w:ascii="楷体" w:hAnsi="楷体" w:eastAsia="楷体"/>
                <w:sz w:val="26"/>
                <w:szCs w:val="26"/>
              </w:rPr>
              <w:t>9</w:t>
            </w:r>
            <w:r>
              <w:rPr>
                <w:rFonts w:hint="eastAsia" w:ascii="楷体" w:hAnsi="楷体" w:eastAsia="楷体"/>
                <w:sz w:val="26"/>
                <w:szCs w:val="26"/>
              </w:rPr>
              <w:t xml:space="preserve"> 应急管理体系建设重点项目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835" w:type="dxa"/>
          </w:tcPr>
          <w:p>
            <w:pPr>
              <w:spacing w:before="60" w:line="280" w:lineRule="exact"/>
              <w:ind w:firstLine="420"/>
              <w:rPr>
                <w:rFonts w:ascii="楷体_GB2312" w:eastAsia="楷体_GB2312"/>
                <w:sz w:val="21"/>
                <w:szCs w:val="21"/>
              </w:rPr>
            </w:pPr>
            <w:r>
              <w:rPr>
                <w:rFonts w:hint="eastAsia" w:ascii="楷体_GB2312" w:eastAsia="楷体_GB2312"/>
                <w:sz w:val="21"/>
                <w:szCs w:val="21"/>
              </w:rPr>
              <w:t>重点推进水城经开区应急物资产业园，应急管理综合信息化平台，自然灾害防治能力提升工程，应急避难场所，比德、蟠龙、顺场等乡镇炮站建设。</w:t>
            </w:r>
          </w:p>
        </w:tc>
      </w:tr>
    </w:tbl>
    <w:p>
      <w:pPr>
        <w:pStyle w:val="6"/>
        <w:spacing w:before="222"/>
      </w:pPr>
      <w:bookmarkStart w:id="146" w:name="_Toc63250120"/>
      <w:r>
        <w:rPr>
          <w:rFonts w:hint="eastAsia"/>
        </w:rPr>
        <w:t>第六十三章 全面推进信用水城建设</w:t>
      </w:r>
      <w:bookmarkEnd w:id="146"/>
    </w:p>
    <w:p>
      <w:pPr>
        <w:ind w:firstLine="640"/>
      </w:pPr>
      <w:r>
        <w:rPr>
          <w:rFonts w:hint="eastAsia"/>
        </w:rPr>
        <w:t>加强经济安全风险预警、防控机制和能力建设，健全政府性债务管理机制，多渠道筹集偿债资金，有序化解存量债务，依法管控政府债务规模，坚决守住不发生区域性经济金融风险底线。加大对互联网、金融、公共服务等领域违法犯罪案件的查处力度，规范市场秩序，打击垄断和不正当竞争行为。</w:t>
      </w:r>
    </w:p>
    <w:p>
      <w:pPr>
        <w:ind w:firstLine="640"/>
      </w:pPr>
      <w:r>
        <w:rPr>
          <w:rFonts w:hint="eastAsia"/>
        </w:rPr>
        <w:t>严格食品药品生产、经营环节安全监管，</w:t>
      </w:r>
      <w:r>
        <w:t>落实食品药品安全战略，建立健全食品药品安全监管体系</w:t>
      </w:r>
      <w:r>
        <w:rPr>
          <w:rFonts w:hint="eastAsia"/>
        </w:rPr>
        <w:t>，严厉打击严重威胁食品药品安全方面的违法违规行为。规范市场秩序，打击垄断和不正当竞争行为，加大对互联网、金融、公共服务等领域违法犯罪案件的查处力度。</w:t>
      </w:r>
    </w:p>
    <w:p>
      <w:pPr>
        <w:spacing w:after="120"/>
        <w:ind w:firstLine="640"/>
      </w:pPr>
      <w:r>
        <w:rPr>
          <w:rFonts w:hint="eastAsia"/>
        </w:rPr>
        <w:t>加强社会信用体系建设，进一步完善守信联合激励和失信联合惩戒制度，打通司法、金融、税务等部门信息共享渠道，建立统一的信用信息平台，拓展信用服务产品应用范围。</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0" w:firstLineChars="0"/>
              <w:jc w:val="center"/>
              <w:rPr>
                <w:rFonts w:ascii="楷体" w:hAnsi="楷体" w:eastAsia="楷体"/>
                <w:sz w:val="26"/>
                <w:szCs w:val="26"/>
              </w:rPr>
            </w:pPr>
            <w:r>
              <w:rPr>
                <w:rFonts w:hint="eastAsia" w:ascii="楷体" w:hAnsi="楷体" w:eastAsia="楷体"/>
                <w:sz w:val="26"/>
                <w:szCs w:val="26"/>
              </w:rPr>
              <w:t>专栏</w:t>
            </w:r>
            <w:r>
              <w:rPr>
                <w:rFonts w:ascii="楷体" w:hAnsi="楷体" w:eastAsia="楷体"/>
                <w:sz w:val="26"/>
                <w:szCs w:val="26"/>
              </w:rPr>
              <w:t>50</w:t>
            </w:r>
            <w:r>
              <w:rPr>
                <w:rFonts w:hint="eastAsia" w:ascii="楷体" w:hAnsi="楷体" w:eastAsia="楷体"/>
                <w:sz w:val="26"/>
                <w:szCs w:val="26"/>
              </w:rPr>
              <w:t xml:space="preserve"> 食品安全重点项目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spacing w:line="240" w:lineRule="auto"/>
              <w:ind w:firstLine="420"/>
              <w:rPr>
                <w:rFonts w:ascii="楷体_GB2312" w:eastAsia="楷体_GB2312"/>
                <w:sz w:val="21"/>
                <w:szCs w:val="21"/>
              </w:rPr>
            </w:pPr>
            <w:r>
              <w:rPr>
                <w:rFonts w:hint="eastAsia" w:ascii="楷体_GB2312" w:eastAsia="楷体_GB2312"/>
                <w:sz w:val="21"/>
                <w:szCs w:val="21"/>
              </w:rPr>
              <w:t>重点实施水城区食品安全检测中心、特色食用农产品快速检测站建设。</w:t>
            </w:r>
          </w:p>
        </w:tc>
      </w:tr>
    </w:tbl>
    <w:p>
      <w:pPr>
        <w:pStyle w:val="6"/>
        <w:spacing w:before="222"/>
      </w:pPr>
      <w:bookmarkStart w:id="147" w:name="_Toc63250121"/>
      <w:r>
        <w:rPr>
          <w:rFonts w:hint="eastAsia"/>
        </w:rPr>
        <w:t>第六十四章 全面推进社会治理创新</w:t>
      </w:r>
      <w:bookmarkEnd w:id="147"/>
    </w:p>
    <w:p>
      <w:pPr>
        <w:ind w:firstLine="640"/>
      </w:pPr>
      <w:r>
        <w:rPr>
          <w:rFonts w:hint="eastAsia"/>
        </w:rPr>
        <w:t>推动多层次社会治理，加快构建政府、社会、企业、个人共同参与的高效社会治理体系。切实把党的领导优势和中国特色社会主义制度优势转化为治理优势。打造人人有责、人人尽责、人人享有的社会治理共同体，加快构建系统完备、科学规范、集约高效的社会治理法治体系，坚持以社会主义核心价值观为统领，完善社会、学校、家庭“三位一体”的德育网络，加快构建具有中国特色、彰显时代精神、体现地方文化的德治体系。依法化解社会矛盾纠纷，健全行政纠纷化解机制，加强行政复议和应诉工作，提高社会治理信息化水平。坚持发展新时代“枫桥经验”，大力培育发展与社会治理事务相关的社会组织，重构互相支持、互相理解、互相体谅的社区文化，促进邻里和谐。完善社会矛盾纠纷多元预防调处化解综合机制，健全领导干部接访和包案化解制度，加强行政复议和应诉工作，依法化解社会矛盾纠纷。构建基层社会治理信息综合、智慧调度、联动处置体系，实现社会治理制度化、规范化、程序化、信息化。</w:t>
      </w:r>
    </w:p>
    <w:p>
      <w:pPr>
        <w:keepNext/>
        <w:keepLines/>
        <w:spacing w:before="120" w:after="120" w:line="570" w:lineRule="exact"/>
        <w:ind w:firstLine="0" w:firstLineChars="0"/>
        <w:jc w:val="center"/>
        <w:outlineLvl w:val="0"/>
        <w:rPr>
          <w:rFonts w:eastAsia="黑体"/>
          <w:b/>
          <w:bCs/>
          <w:kern w:val="44"/>
          <w:szCs w:val="44"/>
        </w:rPr>
      </w:pPr>
      <w:r>
        <w:rPr>
          <w:rFonts w:eastAsia="黑体"/>
          <w:b/>
          <w:bCs/>
          <w:kern w:val="44"/>
          <w:szCs w:val="44"/>
        </w:rPr>
        <w:br w:type="page"/>
      </w:r>
    </w:p>
    <w:p>
      <w:pPr>
        <w:pStyle w:val="5"/>
      </w:pPr>
      <w:bookmarkStart w:id="148" w:name="_Toc63250122"/>
      <w:r>
        <w:rPr>
          <w:rFonts w:hint="eastAsia"/>
        </w:rPr>
        <w:t>第十五篇 坚持党的全面领导，为高质量发展提供坚强保证</w:t>
      </w:r>
      <w:bookmarkEnd w:id="148"/>
    </w:p>
    <w:p>
      <w:pPr>
        <w:ind w:firstLine="640"/>
      </w:pPr>
      <w:r>
        <w:rPr>
          <w:rFonts w:hint="eastAsia"/>
        </w:rPr>
        <w:t>实现“十四五”规划和二</w:t>
      </w:r>
      <w:r>
        <w:rPr>
          <w:rFonts w:hint="eastAsia" w:ascii="微软雅黑" w:hAnsi="微软雅黑" w:eastAsia="微软雅黑" w:cs="微软雅黑"/>
        </w:rPr>
        <w:t>〇</w:t>
      </w:r>
      <w:r>
        <w:rPr>
          <w:rFonts w:hint="eastAsia"/>
        </w:rPr>
        <w:t>三五年远景目标，必须坚持党的全面领导，不断提高贯彻新发展理念、构建新发展格局能力和水平，形成推动</w:t>
      </w:r>
      <w:r>
        <w:rPr>
          <w:rFonts w:hint="eastAsia"/>
          <w:lang w:eastAsia="zh-CN"/>
        </w:rPr>
        <w:t>康养水城</w:t>
      </w:r>
      <w:r>
        <w:rPr>
          <w:rFonts w:hint="eastAsia"/>
        </w:rPr>
        <w:t>高质量发展的强大合力。</w:t>
      </w:r>
    </w:p>
    <w:p>
      <w:pPr>
        <w:pStyle w:val="6"/>
        <w:spacing w:before="222"/>
      </w:pPr>
      <w:bookmarkStart w:id="149" w:name="_Toc63250123"/>
      <w:r>
        <w:rPr>
          <w:rFonts w:hint="eastAsia"/>
        </w:rPr>
        <w:t>第六十五章 切实提高党领导高质量发展的能力水平</w:t>
      </w:r>
      <w:bookmarkEnd w:id="149"/>
    </w:p>
    <w:p>
      <w:pPr>
        <w:ind w:firstLine="640"/>
      </w:pPr>
      <w:r>
        <w:rPr>
          <w:rFonts w:hint="eastAsia"/>
        </w:rPr>
        <w:t>贯彻党把方向、谋大局、定政策、促改革的要求，深入学习贯彻习近平新时代中国特色社会主义思想和习近平总书记对贵州工作重要指示精神，增强“四个意识”、坚定“四个自信”、做到“两个维护”，完善上下贯通、执行有力的组织体系，确保党中央和省委、市委决策部署有效落实。健全党委研究经济社会发展、研究重大方针政策的工作机制，加强对经济社会发展重大问题的调查研究。健全决策咨询机制，完善信息发布制度。</w:t>
      </w:r>
    </w:p>
    <w:p>
      <w:pPr>
        <w:ind w:firstLine="640"/>
      </w:pPr>
      <w:r>
        <w:rPr>
          <w:rFonts w:hint="eastAsia"/>
        </w:rPr>
        <w:t>纵深推进全面从严治党，严格贯彻落实中央八项规定及其实施细则精神，坚定不移深化党风廉政建设和反腐败斗争。加强政治监督，强化对公权力运行的制约和监督，常态化开展党内政治生态研判，坚持无禁区全覆盖零容忍，一体推进不敢腐、不能腐、不想腐，形成执行坚决、监督有力的权力运行机制，为高质量发展营造良好的政治生态。</w:t>
      </w:r>
    </w:p>
    <w:p>
      <w:pPr>
        <w:ind w:firstLine="640"/>
      </w:pPr>
      <w:r>
        <w:t>建立健全人民意见征集制度，倾听人民呼声，回应人民期待，不断解决好人民最关心最直接最现实的利益问题，凝聚起最广大人民为开启社会主义现代化新征程的智慧和力量。</w:t>
      </w:r>
    </w:p>
    <w:p>
      <w:pPr>
        <w:ind w:firstLine="640"/>
      </w:pPr>
      <w:r>
        <w:t>坚持把村干部职业化管理作为创新基层治理模式、丰富完善基层治理体系、巩固基层政权的重要抓手，持续推进村干部职业化拓展改革，</w:t>
      </w:r>
      <w:r>
        <w:rPr>
          <w:rFonts w:hint="eastAsia"/>
          <w:highlight w:val="yellow"/>
        </w:rPr>
        <w:t>减轻村级组织负担</w:t>
      </w:r>
      <w:r>
        <w:rPr>
          <w:rFonts w:hint="eastAsia"/>
          <w:highlight w:val="yellow"/>
          <w:lang w:eastAsia="zh-CN"/>
        </w:rPr>
        <w:t>，</w:t>
      </w:r>
      <w:r>
        <w:t>推动基层党组织全面进步全面过硬。建立健全各级党委（党组）班子成员联系支部工作长效机制。分类推进新形势下各行业各领域党组织建设，扩大党的组织和工作有效覆盖。建立健全抓党建促乡村振兴的制度机制，全面推行村党组织书记按照法定程序担任村自治组织负责人，实行村级党组织书记县级备案管理制度，建立派出“第一书记”和驻村工作组长效机制。贯彻落实党员教育管理工作条例，做好党员发展</w:t>
      </w:r>
      <w:r>
        <w:rPr>
          <w:rFonts w:hint="eastAsia"/>
        </w:rPr>
        <w:t>、教育和管理工作。</w:t>
      </w:r>
    </w:p>
    <w:p>
      <w:pPr>
        <w:pStyle w:val="6"/>
        <w:spacing w:before="222"/>
      </w:pPr>
      <w:bookmarkStart w:id="150" w:name="_Toc63250124"/>
      <w:r>
        <w:rPr>
          <w:rFonts w:hint="eastAsia"/>
        </w:rPr>
        <w:t xml:space="preserve">第六十六章 </w:t>
      </w:r>
      <w:r>
        <w:t>健全规划制定和落实机制</w:t>
      </w:r>
      <w:bookmarkEnd w:id="150"/>
    </w:p>
    <w:p>
      <w:pPr>
        <w:ind w:firstLine="640"/>
      </w:pPr>
      <w:r>
        <w:t>编制“十四五”规划纲要和专项规划，</w:t>
      </w:r>
      <w:r>
        <w:rPr>
          <w:rFonts w:hint="eastAsia"/>
        </w:rPr>
        <w:t>必须</w:t>
      </w:r>
      <w:r>
        <w:t>坚决贯彻党中央、省委、市委、</w:t>
      </w:r>
      <w:r>
        <w:rPr>
          <w:rFonts w:hint="eastAsia"/>
        </w:rPr>
        <w:t>区</w:t>
      </w:r>
      <w:r>
        <w:t>委决策部署，落实</w:t>
      </w:r>
      <w:r>
        <w:rPr>
          <w:rFonts w:hint="eastAsia"/>
        </w:rPr>
        <w:t>“十四五”规划</w:t>
      </w:r>
      <w:r>
        <w:t>确定的发展战略、目标任务、重大举措。各级各部门要从实际出发，在务实功、求实效上下功夫，扎实编制实施各类专项规划和方案，完善规划</w:t>
      </w:r>
      <w:r>
        <w:rPr>
          <w:rFonts w:hint="eastAsia"/>
        </w:rPr>
        <w:t>研究协商机制、</w:t>
      </w:r>
      <w:r>
        <w:t>实施评估机制、调整修订机制</w:t>
      </w:r>
      <w:r>
        <w:rPr>
          <w:rFonts w:hint="eastAsia"/>
        </w:rPr>
        <w:t>和</w:t>
      </w:r>
      <w:r>
        <w:t>监督考核机制，一套战略抓到底，一张蓝图绘到底，确保省委、市委落实十九届五中全会出台的一系列政策措施在水城落地生根，确保</w:t>
      </w:r>
      <w:r>
        <w:rPr>
          <w:rFonts w:hint="eastAsia"/>
        </w:rPr>
        <w:t>区委</w:t>
      </w:r>
      <w:r>
        <w:t>“十四五”规划建议目标任务落到实处。</w:t>
      </w:r>
    </w:p>
    <w:p>
      <w:pPr>
        <w:ind w:firstLine="0" w:firstLineChars="0"/>
        <w:jc w:val="center"/>
        <w:rPr>
          <w:b/>
          <w:bCs/>
        </w:rPr>
      </w:pPr>
      <w:r>
        <w:rPr>
          <w:rFonts w:hint="eastAsia"/>
          <w:b/>
          <w:bCs/>
        </w:rPr>
        <w:t xml:space="preserve">第一节 </w:t>
      </w:r>
      <w:r>
        <w:rPr>
          <w:b/>
          <w:bCs/>
        </w:rPr>
        <w:t>建立健全规划体系</w:t>
      </w:r>
    </w:p>
    <w:p>
      <w:pPr>
        <w:ind w:firstLine="640"/>
      </w:pPr>
      <w:r>
        <w:rPr>
          <w:rFonts w:hint="eastAsia"/>
        </w:rPr>
        <w:t>建立以发展规划为统领，国土空间规划为基础，区域规划和专项规划为支撑，各类规划定位准确、边界清晰、功能互补、统一衔接的规划体系。有关部门围绕公共服务职责的重点领域和重大基础设施、重要资源开发、产业结构调整关键领域和关键环节，编制专项规划、专题规划，明确各领域的发展目标、重点任务和政策措施，形成对本规划强有力的支撑。</w:t>
      </w:r>
    </w:p>
    <w:p>
      <w:pPr>
        <w:ind w:firstLine="640"/>
      </w:pPr>
      <w:r>
        <w:rPr>
          <w:rFonts w:hint="eastAsia"/>
        </w:rPr>
        <w:t>加强规划之间的衔接协调，各专项规划要以规划纲要为依据，要具体落实规划纲要确定的目标、任务和要求，确保在总体要求上方向一致。做好年度计划的分解落实，结合实际，按年度分解和落实规划纲要提出的目标和任务。加强“十四五规划”与空间规划衔接，站在“五位一体”和生态文明建设视角，从国土开发保护、资源节约集约利用、空间布局优化、强度管控、用途管制、生态修复治理、空间治理体系和能力等做好衔接工作。</w:t>
      </w:r>
    </w:p>
    <w:p>
      <w:pPr>
        <w:ind w:firstLine="0" w:firstLineChars="0"/>
        <w:jc w:val="center"/>
        <w:rPr>
          <w:b/>
          <w:bCs/>
        </w:rPr>
      </w:pPr>
      <w:r>
        <w:rPr>
          <w:rFonts w:hint="eastAsia"/>
          <w:b/>
          <w:bCs/>
        </w:rPr>
        <w:t>第二节</w:t>
      </w:r>
      <w:r>
        <w:rPr>
          <w:b/>
          <w:bCs/>
        </w:rPr>
        <w:t xml:space="preserve"> 加强规划实施</w:t>
      </w:r>
      <w:r>
        <w:rPr>
          <w:rFonts w:hint="eastAsia"/>
          <w:b/>
          <w:bCs/>
        </w:rPr>
        <w:t>与考评</w:t>
      </w:r>
    </w:p>
    <w:p>
      <w:pPr>
        <w:ind w:firstLine="640"/>
      </w:pPr>
      <w:r>
        <w:rPr>
          <w:rFonts w:hint="eastAsia"/>
        </w:rPr>
        <w:t>建立健全党委领导、人大批准、政府编制实施的发展规划工作机制。按照谁牵头编制谁组织实施的原则，落实规划实施责任，建立健全规划实施保障机制，强化规划组织实施和监测评估，提升规划实施效能。本规划确定的约束性指标以及重大工程、重大项目、重大政策和重要改革任务，要明确责任主体、实施进度要求，分解落实到各级各部门，确保如期完成。对纳入规划的重大工程项目要优先列入年度统筹推进计划，优先保障规划选址、土地供应和融资安排。建立规划实施监测评估制度，规划编制部门要组织开展规划实施中期评估和总结评估，鼓励开展第三方评估。发展规划中期评估要重点评估实施进展情况及存在的问题，提出推进规划实施的建议，评估报告报本级人民政府审定后提请本级人民代表大会常务委员会审议。同时，强化规划的监督与考核，进一步健全规划实施监督考核机制，各类规划编制部门要将规划实施情况作为政务信息公开的重要内容，及时公布实施进展，主动接受人大、政协、审计和社会各界监督。</w:t>
      </w:r>
    </w:p>
    <w:p>
      <w:pPr>
        <w:pStyle w:val="2"/>
        <w:rPr>
          <w:rFonts w:eastAsiaTheme="minorEastAsia"/>
        </w:rPr>
      </w:pPr>
    </w:p>
    <w:p>
      <w:pPr>
        <w:ind w:firstLine="0" w:firstLineChars="0"/>
        <w:jc w:val="center"/>
        <w:rPr>
          <w:b/>
          <w:bCs/>
        </w:rPr>
      </w:pPr>
      <w:r>
        <w:rPr>
          <w:rFonts w:hint="eastAsia"/>
          <w:b/>
          <w:bCs/>
        </w:rPr>
        <w:t>第三节</w:t>
      </w:r>
      <w:r>
        <w:rPr>
          <w:b/>
          <w:bCs/>
        </w:rPr>
        <w:t xml:space="preserve"> 规范规划动态调整和修订</w:t>
      </w:r>
    </w:p>
    <w:p>
      <w:pPr>
        <w:ind w:firstLine="640"/>
      </w:pPr>
      <w:r>
        <w:rPr>
          <w:rFonts w:hint="eastAsia"/>
        </w:rPr>
        <w:t>强化规划权威性、严肃性，未经法定程序批准，不得随意调整更改各类规划。当规划实施条件发生重大变化或其他原因，造成实际经济运行、社会发展与规划目标发展较大偏离时，或因国家调整相关指标等，经评估确需对市发展规划进行调整修订时，须按照新形势新要求调整完善规划内容，由本级人民政府提出调整建议，经党委同意后，提请本级人民代表大会常务委员会审查批准。</w:t>
      </w:r>
      <w:r>
        <w:br w:type="page"/>
      </w:r>
    </w:p>
    <w:p>
      <w:pPr>
        <w:pStyle w:val="5"/>
      </w:pPr>
      <w:bookmarkStart w:id="151" w:name="_Toc63250125"/>
      <w:r>
        <w:rPr>
          <w:rFonts w:hint="eastAsia"/>
        </w:rPr>
        <w:t>附录：名词解释</w:t>
      </w:r>
      <w:bookmarkEnd w:id="151"/>
    </w:p>
    <w:p>
      <w:pPr>
        <w:ind w:firstLine="643"/>
        <w:rPr>
          <w:b/>
          <w:bCs/>
        </w:rPr>
      </w:pPr>
      <w:r>
        <w:rPr>
          <w:rFonts w:hint="eastAsia"/>
          <w:b/>
          <w:bCs/>
        </w:rPr>
        <w:t>第一篇</w:t>
      </w:r>
    </w:p>
    <w:p>
      <w:pPr>
        <w:ind w:firstLine="640"/>
      </w:pPr>
      <w:r>
        <w:t>1.</w:t>
      </w:r>
      <w:r>
        <w:rPr>
          <w:rFonts w:hint="eastAsia"/>
          <w:b/>
          <w:bCs/>
        </w:rPr>
        <w:t xml:space="preserve"> 八大员</w:t>
      </w:r>
      <w:r>
        <w:rPr>
          <w:rFonts w:hint="eastAsia"/>
        </w:rPr>
        <w:t>：指水管员、护林员、巡河员、保洁员、巡防员、宣传员、协管员、护路员等八类公益性岗位。</w:t>
      </w:r>
    </w:p>
    <w:p>
      <w:pPr>
        <w:ind w:firstLine="640"/>
      </w:pPr>
      <w:r>
        <w:t>2.</w:t>
      </w:r>
      <w:r>
        <w:rPr>
          <w:b/>
          <w:bCs/>
        </w:rPr>
        <w:t>六化一体</w:t>
      </w:r>
      <w:r>
        <w:t>：</w:t>
      </w:r>
      <w:r>
        <w:rPr>
          <w:rFonts w:hint="eastAsia"/>
        </w:rPr>
        <w:t>指</w:t>
      </w:r>
      <w:r>
        <w:t>岗位公职化、管理制度化、责任明晰化、报酬工薪化、服务便民化、办公现代化。</w:t>
      </w:r>
    </w:p>
    <w:p>
      <w:pPr>
        <w:pStyle w:val="2"/>
        <w:ind w:firstLine="643" w:firstLineChars="200"/>
        <w:rPr>
          <w:rFonts w:ascii="仿宋_GB2312" w:hAnsi="仿宋_GB2312" w:eastAsia="仿宋_GB2312" w:cs="Times New Roman"/>
          <w:kern w:val="2"/>
          <w:sz w:val="32"/>
          <w:szCs w:val="24"/>
        </w:rPr>
      </w:pPr>
      <w:r>
        <w:rPr>
          <w:rFonts w:hint="eastAsia" w:ascii="仿宋_GB2312" w:hAnsi="仿宋_GB2312" w:eastAsia="仿宋_GB2312" w:cs="Times New Roman"/>
          <w:b/>
          <w:bCs/>
          <w:kern w:val="2"/>
          <w:sz w:val="32"/>
          <w:szCs w:val="24"/>
        </w:rPr>
        <w:t>3</w:t>
      </w:r>
      <w:r>
        <w:rPr>
          <w:rFonts w:ascii="仿宋_GB2312" w:hAnsi="仿宋_GB2312" w:eastAsia="仿宋_GB2312" w:cs="Times New Roman"/>
          <w:b/>
          <w:bCs/>
          <w:kern w:val="2"/>
          <w:sz w:val="32"/>
          <w:szCs w:val="24"/>
        </w:rPr>
        <w:t>.</w:t>
      </w:r>
      <w:r>
        <w:rPr>
          <w:rFonts w:hint="eastAsia" w:ascii="仿宋_GB2312" w:hAnsi="仿宋_GB2312" w:eastAsia="仿宋_GB2312" w:cs="Times New Roman"/>
          <w:b/>
          <w:bCs/>
          <w:kern w:val="2"/>
          <w:sz w:val="32"/>
          <w:szCs w:val="24"/>
        </w:rPr>
        <w:t>水城经开区</w:t>
      </w:r>
      <w:r>
        <w:rPr>
          <w:rFonts w:hint="eastAsia" w:ascii="仿宋_GB2312" w:hAnsi="仿宋_GB2312" w:eastAsia="仿宋_GB2312" w:cs="Times New Roman"/>
          <w:kern w:val="2"/>
          <w:sz w:val="32"/>
          <w:szCs w:val="24"/>
        </w:rPr>
        <w:t>：指贵州水城经济开发区。</w:t>
      </w:r>
    </w:p>
    <w:p>
      <w:pPr>
        <w:ind w:firstLine="643"/>
        <w:rPr>
          <w:b/>
          <w:bCs/>
        </w:rPr>
      </w:pPr>
      <w:r>
        <w:rPr>
          <w:rFonts w:hint="eastAsia"/>
          <w:b/>
          <w:bCs/>
        </w:rPr>
        <w:t>第二篇</w:t>
      </w:r>
    </w:p>
    <w:p>
      <w:pPr>
        <w:ind w:firstLine="640"/>
      </w:pPr>
      <w:r>
        <w:t>4.</w:t>
      </w:r>
      <w:r>
        <w:rPr>
          <w:b/>
          <w:bCs/>
        </w:rPr>
        <w:t>五位一体</w:t>
      </w:r>
      <w:r>
        <w:t>：是指全面推进经济建设、政治建设、文化建设、社会建设和生态文明建设。</w:t>
      </w:r>
    </w:p>
    <w:p>
      <w:pPr>
        <w:ind w:firstLine="640"/>
      </w:pPr>
      <w:r>
        <w:t>5.</w:t>
      </w:r>
      <w:r>
        <w:rPr>
          <w:b/>
          <w:bCs/>
        </w:rPr>
        <w:t>四个全面</w:t>
      </w:r>
      <w:r>
        <w:t>：即全面建设社会主义现代化国家、全面深化改革、全面依法治国、全面从严治党。</w:t>
      </w:r>
    </w:p>
    <w:p>
      <w:pPr>
        <w:ind w:firstLine="643"/>
        <w:rPr>
          <w:b/>
          <w:bCs/>
        </w:rPr>
      </w:pPr>
      <w:r>
        <w:rPr>
          <w:rFonts w:hint="eastAsia"/>
          <w:b/>
          <w:bCs/>
        </w:rPr>
        <w:t>第三篇</w:t>
      </w:r>
    </w:p>
    <w:p>
      <w:pPr>
        <w:ind w:firstLine="640"/>
      </w:pPr>
      <w:r>
        <w:t>6.</w:t>
      </w:r>
      <w:r>
        <w:rPr>
          <w:b/>
          <w:bCs/>
        </w:rPr>
        <w:t>三链两集群</w:t>
      </w:r>
      <w:r>
        <w:t>：三链是</w:t>
      </w:r>
      <w:r>
        <w:rPr>
          <w:rFonts w:hint="eastAsia"/>
        </w:rPr>
        <w:t>指</w:t>
      </w:r>
      <w:r>
        <w:t>铝棒、铝板材、铝卷材下游产业链，两集群指铝制智能家居和建筑装饰型材为主的产业集群。</w:t>
      </w:r>
    </w:p>
    <w:p>
      <w:pPr>
        <w:ind w:firstLine="643"/>
        <w:rPr>
          <w:b/>
          <w:bCs/>
        </w:rPr>
      </w:pPr>
      <w:r>
        <w:rPr>
          <w:rFonts w:hint="eastAsia"/>
          <w:b/>
          <w:bCs/>
        </w:rPr>
        <w:t>第四篇</w:t>
      </w:r>
    </w:p>
    <w:p>
      <w:pPr>
        <w:ind w:firstLine="640"/>
      </w:pPr>
      <w:r>
        <w:t>7.</w:t>
      </w:r>
      <w:r>
        <w:rPr>
          <w:b/>
          <w:bCs/>
        </w:rPr>
        <w:t>四化同步</w:t>
      </w:r>
      <w:r>
        <w:t>：新型工业化、信息化、城镇化、农业现代化同步发展。</w:t>
      </w:r>
    </w:p>
    <w:p>
      <w:pPr>
        <w:ind w:firstLine="640"/>
      </w:pPr>
      <w:r>
        <w:rPr>
          <w:rFonts w:hint="eastAsia"/>
        </w:rPr>
        <w:t>8</w:t>
      </w:r>
      <w:r>
        <w:t>.</w:t>
      </w:r>
      <w:r>
        <w:rPr>
          <w:rFonts w:hint="eastAsia"/>
          <w:b/>
          <w:bCs/>
        </w:rPr>
        <w:t>种植业七特七快</w:t>
      </w:r>
      <w:r>
        <w:rPr>
          <w:rFonts w:hint="eastAsia"/>
        </w:rPr>
        <w:t>：七特指</w:t>
      </w:r>
      <w:r>
        <w:t>猕猴桃、茶叶、核桃、刺梨、精品水果、山桐子、红香椿</w:t>
      </w:r>
      <w:r>
        <w:rPr>
          <w:rFonts w:hint="eastAsia"/>
        </w:rPr>
        <w:t>等七个特色产业</w:t>
      </w:r>
      <w:r>
        <w:t>；</w:t>
      </w:r>
      <w:r>
        <w:rPr>
          <w:rFonts w:hint="eastAsia"/>
        </w:rPr>
        <w:t>七快指</w:t>
      </w:r>
      <w:r>
        <w:t>马铃薯、烤烟、食用菌、商品蔬菜、小黄姜、荞麦、中药材</w:t>
      </w:r>
      <w:r>
        <w:rPr>
          <w:rFonts w:hint="eastAsia"/>
        </w:rPr>
        <w:t>等</w:t>
      </w:r>
      <w:r>
        <w:t>七个短平快产业。</w:t>
      </w:r>
    </w:p>
    <w:p>
      <w:pPr>
        <w:ind w:firstLine="640"/>
      </w:pPr>
      <w:r>
        <w:rPr>
          <w:rFonts w:hint="eastAsia"/>
        </w:rPr>
        <w:t>9</w:t>
      </w:r>
      <w:r>
        <w:t>.</w:t>
      </w:r>
      <w:r>
        <w:rPr>
          <w:rFonts w:hint="eastAsia"/>
          <w:b/>
          <w:bCs/>
        </w:rPr>
        <w:t>养殖业三大三小</w:t>
      </w:r>
      <w:r>
        <w:rPr>
          <w:rFonts w:hint="eastAsia"/>
        </w:rPr>
        <w:t>：“三大”指温氏养猪、牛、黑山羊等；“三小”指桃花鸡、中蜂、鱼等。</w:t>
      </w:r>
    </w:p>
    <w:p>
      <w:pPr>
        <w:ind w:firstLine="643"/>
        <w:rPr>
          <w:b/>
          <w:bCs/>
        </w:rPr>
      </w:pPr>
      <w:r>
        <w:rPr>
          <w:rFonts w:hint="eastAsia"/>
          <w:b/>
          <w:bCs/>
        </w:rPr>
        <w:t>第五篇</w:t>
      </w:r>
    </w:p>
    <w:p>
      <w:pPr>
        <w:ind w:firstLine="640"/>
      </w:pPr>
      <w:r>
        <w:t>10.</w:t>
      </w:r>
      <w:r>
        <w:rPr>
          <w:b/>
          <w:bCs/>
        </w:rPr>
        <w:t>四个不摘</w:t>
      </w:r>
      <w:r>
        <w:t>：</w:t>
      </w:r>
      <w:r>
        <w:rPr>
          <w:rFonts w:hint="eastAsia"/>
        </w:rPr>
        <w:t>指</w:t>
      </w:r>
      <w:r>
        <w:t>摘帽不摘责任、摘帽不摘政策、摘帽不摘帮扶、摘帽不摘监管</w:t>
      </w:r>
      <w:r>
        <w:rPr>
          <w:rFonts w:hint="eastAsia"/>
        </w:rPr>
        <w:t>。</w:t>
      </w:r>
    </w:p>
    <w:p>
      <w:pPr>
        <w:ind w:firstLine="640"/>
      </w:pPr>
      <w:r>
        <w:t>11.</w:t>
      </w:r>
      <w:r>
        <w:rPr>
          <w:b/>
          <w:bCs/>
        </w:rPr>
        <w:t>五个不变</w:t>
      </w:r>
      <w:r>
        <w:t>：</w:t>
      </w:r>
      <w:r>
        <w:rPr>
          <w:rFonts w:hint="eastAsia"/>
        </w:rPr>
        <w:t>指</w:t>
      </w:r>
      <w:r>
        <w:t>坚持指挥体系保持不变、扶贫政策保持不变、攻坚队伍保持不变、帮扶力度保持不变、督导检查保持不变。</w:t>
      </w:r>
    </w:p>
    <w:p>
      <w:pPr>
        <w:ind w:firstLine="640"/>
      </w:pPr>
      <w:r>
        <w:t>12.</w:t>
      </w:r>
      <w:r>
        <w:rPr>
          <w:b/>
          <w:bCs/>
        </w:rPr>
        <w:t>5个100%</w:t>
      </w:r>
      <w:r>
        <w:t>：</w:t>
      </w:r>
      <w:r>
        <w:rPr>
          <w:rFonts w:hint="eastAsia"/>
        </w:rPr>
        <w:t>指</w:t>
      </w:r>
      <w:r>
        <w:t>确保干部到岗到位率100%、确保帮扶入户到位率100%、确保政策宣传知晓率100%、确保脱贫政策实现率100%、确保矛盾纠纷排处率100%。</w:t>
      </w:r>
    </w:p>
    <w:p>
      <w:pPr>
        <w:ind w:firstLine="640"/>
      </w:pPr>
      <w:r>
        <w:t>13.</w:t>
      </w:r>
      <w:r>
        <w:rPr>
          <w:b/>
          <w:bCs/>
        </w:rPr>
        <w:t>四个不能</w:t>
      </w:r>
      <w:r>
        <w:t>：</w:t>
      </w:r>
      <w:r>
        <w:rPr>
          <w:rFonts w:hint="eastAsia"/>
        </w:rPr>
        <w:t>指</w:t>
      </w:r>
      <w:r>
        <w:t>思想不能滑坡、力量不能削弱、工作不能松劲、标准不能降低。</w:t>
      </w:r>
    </w:p>
    <w:p>
      <w:pPr>
        <w:ind w:firstLine="640"/>
      </w:pPr>
      <w:r>
        <w:t>14.</w:t>
      </w:r>
      <w:r>
        <w:rPr>
          <w:rFonts w:hint="eastAsia"/>
          <w:b/>
          <w:bCs/>
        </w:rPr>
        <w:t>三品一标</w:t>
      </w:r>
      <w:r>
        <w:t>：</w:t>
      </w:r>
      <w:r>
        <w:rPr>
          <w:rFonts w:hint="eastAsia"/>
        </w:rPr>
        <w:t>即无公害农产品、绿色食品、有机农产品</w:t>
      </w:r>
      <w:r>
        <w:t>和农产品地理标志。</w:t>
      </w:r>
    </w:p>
    <w:p>
      <w:pPr>
        <w:ind w:firstLine="643"/>
        <w:rPr>
          <w:b/>
          <w:bCs/>
        </w:rPr>
      </w:pPr>
      <w:r>
        <w:rPr>
          <w:rFonts w:hint="eastAsia"/>
          <w:b/>
          <w:bCs/>
        </w:rPr>
        <w:t>第六篇</w:t>
      </w:r>
    </w:p>
    <w:p>
      <w:pPr>
        <w:ind w:firstLine="640"/>
      </w:pPr>
      <w:r>
        <w:t>15.</w:t>
      </w:r>
      <w:r>
        <w:rPr>
          <w:b/>
          <w:bCs/>
        </w:rPr>
        <w:t>引金入黔</w:t>
      </w:r>
      <w:r>
        <w:t>：</w:t>
      </w:r>
      <w:r>
        <w:rPr>
          <w:rFonts w:hint="eastAsia"/>
        </w:rPr>
        <w:t>指</w:t>
      </w:r>
      <w:r>
        <w:t>鼓励国内外金融机构来贵州设立总部、分支机构以及后台服务机构。</w:t>
      </w:r>
    </w:p>
    <w:p>
      <w:pPr>
        <w:pStyle w:val="2"/>
        <w:ind w:firstLine="640" w:firstLineChars="200"/>
        <w:rPr>
          <w:rFonts w:ascii="仿宋_GB2312" w:hAnsi="仿宋_GB2312" w:eastAsia="仿宋_GB2312" w:cs="Times New Roman"/>
          <w:kern w:val="2"/>
          <w:sz w:val="32"/>
          <w:szCs w:val="24"/>
        </w:rPr>
      </w:pPr>
      <w:r>
        <w:rPr>
          <w:rFonts w:ascii="仿宋_GB2312" w:hAnsi="仿宋_GB2312" w:eastAsia="仿宋_GB2312" w:cs="Times New Roman"/>
          <w:kern w:val="2"/>
          <w:sz w:val="32"/>
          <w:szCs w:val="24"/>
        </w:rPr>
        <w:t>16.</w:t>
      </w:r>
      <w:r>
        <w:rPr>
          <w:rFonts w:hint="eastAsia" w:ascii="仿宋_GB2312" w:hAnsi="仿宋_GB2312" w:eastAsia="仿宋_GB2312" w:cs="Times New Roman"/>
          <w:b/>
          <w:bCs/>
          <w:kern w:val="2"/>
          <w:sz w:val="32"/>
          <w:szCs w:val="24"/>
        </w:rPr>
        <w:t>六园一库</w:t>
      </w:r>
      <w:r>
        <w:rPr>
          <w:rFonts w:hint="eastAsia" w:ascii="仿宋_GB2312" w:hAnsi="仿宋_GB2312" w:eastAsia="仿宋_GB2312" w:cs="Times New Roman"/>
          <w:kern w:val="2"/>
          <w:sz w:val="32"/>
          <w:szCs w:val="24"/>
        </w:rPr>
        <w:t>：指生产园、加工园、科技园、生态园、文化园、旅游园和文创粮库。</w:t>
      </w:r>
    </w:p>
    <w:p>
      <w:pPr>
        <w:ind w:firstLine="643"/>
        <w:rPr>
          <w:b/>
          <w:bCs/>
        </w:rPr>
      </w:pPr>
      <w:r>
        <w:rPr>
          <w:rFonts w:hint="eastAsia"/>
          <w:b/>
          <w:bCs/>
        </w:rPr>
        <w:t>第八篇</w:t>
      </w:r>
    </w:p>
    <w:p>
      <w:pPr>
        <w:ind w:firstLine="640"/>
      </w:pPr>
      <w:r>
        <w:t>17.</w:t>
      </w:r>
      <w:r>
        <w:rPr>
          <w:b/>
          <w:bCs/>
        </w:rPr>
        <w:t>三线一单</w:t>
      </w:r>
      <w:r>
        <w:t>：指生态保护红线、环境质量底线、资源利用上线和生态环境准入清单。</w:t>
      </w:r>
    </w:p>
    <w:p>
      <w:pPr>
        <w:ind w:firstLine="640"/>
      </w:pPr>
      <w:r>
        <w:t>18.</w:t>
      </w:r>
      <w:r>
        <w:rPr>
          <w:b/>
          <w:bCs/>
        </w:rPr>
        <w:t>双十工程</w:t>
      </w:r>
      <w:r>
        <w:t>：</w:t>
      </w:r>
      <w:r>
        <w:rPr>
          <w:rFonts w:hint="eastAsia"/>
        </w:rPr>
        <w:t>指“</w:t>
      </w:r>
      <w:r>
        <w:t>十大污染源治理工程”和“十大行业治污减排全面达标排放专项行动”。</w:t>
      </w:r>
    </w:p>
    <w:p>
      <w:pPr>
        <w:ind w:firstLine="640"/>
      </w:pPr>
      <w:r>
        <w:t>19.</w:t>
      </w:r>
      <w:r>
        <w:rPr>
          <w:b/>
          <w:bCs/>
        </w:rPr>
        <w:t>三水共治</w:t>
      </w:r>
      <w:r>
        <w:t>：</w:t>
      </w:r>
      <w:r>
        <w:rPr>
          <w:rFonts w:hint="eastAsia"/>
        </w:rPr>
        <w:t>指</w:t>
      </w:r>
      <w:r>
        <w:t>水污染治理、水生态修复和水资源保护</w:t>
      </w:r>
      <w:r>
        <w:rPr>
          <w:rFonts w:hint="eastAsia"/>
        </w:rPr>
        <w:t>。</w:t>
      </w:r>
    </w:p>
    <w:p>
      <w:pPr>
        <w:ind w:firstLine="640"/>
      </w:pPr>
      <w:r>
        <w:t>20.</w:t>
      </w:r>
      <w:r>
        <w:rPr>
          <w:b/>
          <w:bCs/>
        </w:rPr>
        <w:t>四型十五种</w:t>
      </w:r>
      <w:r>
        <w:t>：四型是生态利用型产业、循环高效型产业、低碳清洁型产业、环境治理型产业，十五种包括山地旅游业、大健康医药产业、现代山地特色高效农业、林业产业、饮用水产业、原材料精深加工产业、绿色轻工业、再生资源产业、大数据信息产业、清洁能源产业、新能源汽车产业、新型建筑建材产业、民族特色文化产业、节能环保服务业、节能环保装备制造业。</w:t>
      </w:r>
    </w:p>
    <w:p>
      <w:pPr>
        <w:ind w:firstLine="643"/>
        <w:rPr>
          <w:b/>
          <w:bCs/>
        </w:rPr>
      </w:pPr>
      <w:r>
        <w:rPr>
          <w:rFonts w:hint="eastAsia"/>
          <w:b/>
          <w:bCs/>
        </w:rPr>
        <w:t>第九篇</w:t>
      </w:r>
    </w:p>
    <w:p>
      <w:pPr>
        <w:ind w:firstLine="640"/>
      </w:pPr>
      <w:r>
        <w:t>21.</w:t>
      </w:r>
      <w:r>
        <w:rPr>
          <w:b/>
          <w:bCs/>
        </w:rPr>
        <w:t>两新一重</w:t>
      </w:r>
      <w:r>
        <w:t>：即新型基础设施建设，新型城镇化建设，交通、水利等重大工程建设。</w:t>
      </w:r>
    </w:p>
    <w:p>
      <w:pPr>
        <w:ind w:firstLine="643"/>
        <w:rPr>
          <w:b/>
          <w:bCs/>
        </w:rPr>
      </w:pPr>
      <w:r>
        <w:rPr>
          <w:rFonts w:hint="eastAsia"/>
          <w:b/>
          <w:bCs/>
        </w:rPr>
        <w:t>第十篇</w:t>
      </w:r>
    </w:p>
    <w:p>
      <w:pPr>
        <w:ind w:firstLine="640"/>
      </w:pPr>
      <w:r>
        <w:t>22.</w:t>
      </w:r>
      <w:r>
        <w:rPr>
          <w:b/>
          <w:bCs/>
        </w:rPr>
        <w:t>六网会战</w:t>
      </w:r>
      <w:r>
        <w:t>：</w:t>
      </w:r>
      <w:r>
        <w:rPr>
          <w:rFonts w:hint="eastAsia"/>
        </w:rPr>
        <w:t>指</w:t>
      </w:r>
      <w:r>
        <w:t>路网、水网、电网、地下管网、油气网、互联网</w:t>
      </w:r>
      <w:r>
        <w:rPr>
          <w:rFonts w:hint="eastAsia"/>
        </w:rPr>
        <w:t>等</w:t>
      </w:r>
      <w:r>
        <w:t>基础设施。</w:t>
      </w:r>
    </w:p>
    <w:p>
      <w:pPr>
        <w:ind w:firstLine="643"/>
        <w:rPr>
          <w:b/>
          <w:bCs/>
        </w:rPr>
      </w:pPr>
      <w:r>
        <w:rPr>
          <w:rFonts w:hint="eastAsia"/>
          <w:b/>
          <w:bCs/>
        </w:rPr>
        <w:t>第十二篇</w:t>
      </w:r>
    </w:p>
    <w:p>
      <w:pPr>
        <w:ind w:firstLine="640"/>
      </w:pPr>
      <w:r>
        <w:t>23.</w:t>
      </w:r>
      <w:r>
        <w:rPr>
          <w:b/>
          <w:bCs/>
        </w:rPr>
        <w:t>三权分置</w:t>
      </w:r>
      <w:r>
        <w:t>：</w:t>
      </w:r>
      <w:r>
        <w:rPr>
          <w:rFonts w:hint="eastAsia"/>
        </w:rPr>
        <w:t>指农村集体土地所有权仍归集体所有、农民保留土地承包权、流转土地经营权，将土地承包经营权分为承包权和经营权，实行所有权、承包权、经营权分置并行</w:t>
      </w:r>
      <w:r>
        <w:t>。</w:t>
      </w:r>
    </w:p>
    <w:p>
      <w:pPr>
        <w:ind w:firstLine="643"/>
        <w:rPr>
          <w:b/>
          <w:bCs/>
        </w:rPr>
      </w:pPr>
      <w:r>
        <w:rPr>
          <w:rFonts w:hint="eastAsia"/>
          <w:b/>
          <w:bCs/>
        </w:rPr>
        <w:t>第十四篇</w:t>
      </w:r>
    </w:p>
    <w:p>
      <w:pPr>
        <w:ind w:firstLine="640"/>
      </w:pPr>
      <w:r>
        <w:rPr>
          <w:rFonts w:hint="eastAsia"/>
        </w:rPr>
        <w:t>2</w:t>
      </w:r>
      <w:r>
        <w:t>4.</w:t>
      </w:r>
      <w:r>
        <w:rPr>
          <w:rFonts w:hint="eastAsia"/>
          <w:b/>
          <w:bCs/>
        </w:rPr>
        <w:t>投转固</w:t>
      </w:r>
      <w:r>
        <w:rPr>
          <w:rFonts w:hint="eastAsia"/>
        </w:rPr>
        <w:t>：政府投资建设项目转为固定资产。</w:t>
      </w:r>
    </w:p>
    <w:p>
      <w:pPr>
        <w:ind w:firstLine="640"/>
      </w:pPr>
      <w:r>
        <w:t>25.</w:t>
      </w:r>
      <w:r>
        <w:rPr>
          <w:b/>
          <w:bCs/>
        </w:rPr>
        <w:t>三感社区</w:t>
      </w:r>
      <w:r>
        <w:t>：</w:t>
      </w:r>
      <w:r>
        <w:rPr>
          <w:rFonts w:hint="eastAsia"/>
        </w:rPr>
        <w:t>即建设让人民群众有更多获得感、幸福感、安全感的社区</w:t>
      </w:r>
      <w:r>
        <w:t>。</w:t>
      </w:r>
    </w:p>
    <w:sectPr>
      <w:headerReference r:id="rId5" w:type="default"/>
      <w:footerReference r:id="rId6" w:type="default"/>
      <w:pgSz w:w="11906" w:h="16838"/>
      <w:pgMar w:top="2041" w:right="1474" w:bottom="1588" w:left="1588" w:header="851" w:footer="992" w:gutter="0"/>
      <w:pgNumType w:fmt="numberInDash" w:start="1"/>
      <w:cols w:space="0" w:num="1"/>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00735" cy="578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0735"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424610973"/>
                          </w:sdtPr>
                          <w:sdtEndPr>
                            <w:rPr>
                              <w:sz w:val="28"/>
                              <w:szCs w:val="28"/>
                            </w:rPr>
                          </w:sdtEndPr>
                          <w:sdtContent>
                            <w:p>
                              <w:pPr>
                                <w:pStyle w:val="10"/>
                                <w:ind w:firstLine="560"/>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67 -</w:t>
                              </w:r>
                              <w:r>
                                <w:rPr>
                                  <w:rFonts w:hint="eastAsia" w:ascii="宋体" w:hAnsi="宋体" w:eastAsia="宋体" w:cs="宋体"/>
                                  <w:sz w:val="28"/>
                                  <w:szCs w:val="28"/>
                                </w:rPr>
                                <w:fldChar w:fldCharType="end"/>
                              </w:r>
                            </w:p>
                          </w:sdtContent>
                        </w:sdt>
                        <w:p>
                          <w:pPr>
                            <w:ind w:firstLine="560"/>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45.55pt;width:63.05pt;mso-position-horizontal:center;mso-position-horizontal-relative:margin;mso-wrap-style:none;z-index:251659264;mso-width-relative:page;mso-height-relative:page;" filled="f" stroked="f" coordsize="21600,21600" o:gfxdata="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w+Y4zTAAAABAEAAA8AAAAAAAAAAQAgAAAAIgAAAGRycy9kb3ducmV2Lnht&#10;bFBLAQIUABQAAAAIAIdO4kBDd03VNwIAAGEEAAAOAAAAAAAAAAEAIAAAACIBAABkcnMvZTJvRG9j&#10;LnhtbFBLBQYAAAAABgAGAFkBAADLBQAAAAA=&#10;">
              <v:fill on="f" focussize="0,0"/>
              <v:stroke on="f" weight="0.5pt"/>
              <v:imagedata o:title=""/>
              <o:lock v:ext="edit" aspectratio="f"/>
              <v:textbox inset="0mm,0mm,0mm,0mm" style="mso-fit-shape-to-text:t;">
                <w:txbxContent>
                  <w:sdt>
                    <w:sdtPr>
                      <w:rPr>
                        <w:sz w:val="28"/>
                        <w:szCs w:val="28"/>
                      </w:rPr>
                      <w:id w:val="1424610973"/>
                    </w:sdtPr>
                    <w:sdtEndPr>
                      <w:rPr>
                        <w:sz w:val="28"/>
                        <w:szCs w:val="28"/>
                      </w:rPr>
                    </w:sdtEndPr>
                    <w:sdtContent>
                      <w:p>
                        <w:pPr>
                          <w:pStyle w:val="10"/>
                          <w:ind w:firstLine="560"/>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67 -</w:t>
                        </w:r>
                        <w:r>
                          <w:rPr>
                            <w:rFonts w:hint="eastAsia" w:ascii="宋体" w:hAnsi="宋体" w:eastAsia="宋体" w:cs="宋体"/>
                            <w:sz w:val="28"/>
                            <w:szCs w:val="28"/>
                          </w:rPr>
                          <w:fldChar w:fldCharType="end"/>
                        </w:r>
                      </w:p>
                    </w:sdtContent>
                  </w:sdt>
                  <w:p>
                    <w:pPr>
                      <w:ind w:firstLine="560"/>
                      <w:rPr>
                        <w:sz w:val="28"/>
                        <w:szCs w:val="28"/>
                      </w:rPr>
                    </w:pPr>
                  </w:p>
                </w:txbxContent>
              </v:textbox>
            </v:shape>
          </w:pict>
        </mc:Fallback>
      </mc:AlternateContent>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1468A"/>
    <w:multiLevelType w:val="multilevel"/>
    <w:tmpl w:val="3221468A"/>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2"/>
  <w:displayVerticalDrawingGridEvery w:val="2"/>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DI3YmZiODMyNTYxYmVhMDliYjZkZmQ1MjA0NjcifQ=="/>
  </w:docVars>
  <w:rsids>
    <w:rsidRoot w:val="00CB3C3F"/>
    <w:rsid w:val="000000EA"/>
    <w:rsid w:val="00001C4A"/>
    <w:rsid w:val="00002125"/>
    <w:rsid w:val="000024AD"/>
    <w:rsid w:val="00003428"/>
    <w:rsid w:val="00003998"/>
    <w:rsid w:val="00003DA2"/>
    <w:rsid w:val="0000478C"/>
    <w:rsid w:val="000059D2"/>
    <w:rsid w:val="00005D69"/>
    <w:rsid w:val="0000637F"/>
    <w:rsid w:val="00006660"/>
    <w:rsid w:val="00006B30"/>
    <w:rsid w:val="00006E4C"/>
    <w:rsid w:val="00007A28"/>
    <w:rsid w:val="00010398"/>
    <w:rsid w:val="000104A4"/>
    <w:rsid w:val="00010567"/>
    <w:rsid w:val="00011B15"/>
    <w:rsid w:val="00011FA5"/>
    <w:rsid w:val="0001237B"/>
    <w:rsid w:val="00012AE8"/>
    <w:rsid w:val="00012CEA"/>
    <w:rsid w:val="00013AE4"/>
    <w:rsid w:val="00013EF2"/>
    <w:rsid w:val="000141D8"/>
    <w:rsid w:val="000146C6"/>
    <w:rsid w:val="0001616F"/>
    <w:rsid w:val="000162F8"/>
    <w:rsid w:val="00016688"/>
    <w:rsid w:val="00016A33"/>
    <w:rsid w:val="00016FCC"/>
    <w:rsid w:val="0001776C"/>
    <w:rsid w:val="00017CFD"/>
    <w:rsid w:val="00017D15"/>
    <w:rsid w:val="00021593"/>
    <w:rsid w:val="000218E7"/>
    <w:rsid w:val="00022013"/>
    <w:rsid w:val="00022365"/>
    <w:rsid w:val="000224AB"/>
    <w:rsid w:val="00022AA9"/>
    <w:rsid w:val="00023702"/>
    <w:rsid w:val="00023934"/>
    <w:rsid w:val="000244FA"/>
    <w:rsid w:val="00024E8A"/>
    <w:rsid w:val="000255F4"/>
    <w:rsid w:val="00025B7A"/>
    <w:rsid w:val="00026939"/>
    <w:rsid w:val="00026F37"/>
    <w:rsid w:val="000277B4"/>
    <w:rsid w:val="00027DC3"/>
    <w:rsid w:val="00027E01"/>
    <w:rsid w:val="00030048"/>
    <w:rsid w:val="000309B3"/>
    <w:rsid w:val="00030A40"/>
    <w:rsid w:val="00030D83"/>
    <w:rsid w:val="00031010"/>
    <w:rsid w:val="000310D5"/>
    <w:rsid w:val="000318DD"/>
    <w:rsid w:val="00031B36"/>
    <w:rsid w:val="00033094"/>
    <w:rsid w:val="000332CA"/>
    <w:rsid w:val="00033480"/>
    <w:rsid w:val="00033ED0"/>
    <w:rsid w:val="000342E3"/>
    <w:rsid w:val="000347C4"/>
    <w:rsid w:val="000348EC"/>
    <w:rsid w:val="00034EE2"/>
    <w:rsid w:val="000363B4"/>
    <w:rsid w:val="000369B0"/>
    <w:rsid w:val="00037A26"/>
    <w:rsid w:val="00040EFF"/>
    <w:rsid w:val="0004167B"/>
    <w:rsid w:val="000433F9"/>
    <w:rsid w:val="000447B4"/>
    <w:rsid w:val="00045B7D"/>
    <w:rsid w:val="00046077"/>
    <w:rsid w:val="00046E86"/>
    <w:rsid w:val="000475AD"/>
    <w:rsid w:val="000475B1"/>
    <w:rsid w:val="00050893"/>
    <w:rsid w:val="00050983"/>
    <w:rsid w:val="00050F20"/>
    <w:rsid w:val="000513DC"/>
    <w:rsid w:val="000526ED"/>
    <w:rsid w:val="00052767"/>
    <w:rsid w:val="0005285C"/>
    <w:rsid w:val="00052F5B"/>
    <w:rsid w:val="00053ABC"/>
    <w:rsid w:val="00053BD6"/>
    <w:rsid w:val="00054974"/>
    <w:rsid w:val="00055647"/>
    <w:rsid w:val="0005629B"/>
    <w:rsid w:val="0005726C"/>
    <w:rsid w:val="0005732B"/>
    <w:rsid w:val="00057559"/>
    <w:rsid w:val="00060C71"/>
    <w:rsid w:val="00061659"/>
    <w:rsid w:val="0006187A"/>
    <w:rsid w:val="000618BB"/>
    <w:rsid w:val="00062405"/>
    <w:rsid w:val="000626B2"/>
    <w:rsid w:val="00062D5A"/>
    <w:rsid w:val="00062ED8"/>
    <w:rsid w:val="000635A7"/>
    <w:rsid w:val="00064812"/>
    <w:rsid w:val="00064A0A"/>
    <w:rsid w:val="00065D10"/>
    <w:rsid w:val="00065D14"/>
    <w:rsid w:val="00066139"/>
    <w:rsid w:val="00066724"/>
    <w:rsid w:val="000668CD"/>
    <w:rsid w:val="000670EA"/>
    <w:rsid w:val="00067A64"/>
    <w:rsid w:val="00067E4E"/>
    <w:rsid w:val="00067F91"/>
    <w:rsid w:val="00071766"/>
    <w:rsid w:val="00071F7A"/>
    <w:rsid w:val="0007268E"/>
    <w:rsid w:val="00072852"/>
    <w:rsid w:val="00072D60"/>
    <w:rsid w:val="00072E7A"/>
    <w:rsid w:val="00073174"/>
    <w:rsid w:val="00073611"/>
    <w:rsid w:val="000738AD"/>
    <w:rsid w:val="0007397F"/>
    <w:rsid w:val="00073C07"/>
    <w:rsid w:val="00074C0E"/>
    <w:rsid w:val="000750BD"/>
    <w:rsid w:val="00075682"/>
    <w:rsid w:val="00076D50"/>
    <w:rsid w:val="000776A0"/>
    <w:rsid w:val="00077DFA"/>
    <w:rsid w:val="000801E2"/>
    <w:rsid w:val="00080A4A"/>
    <w:rsid w:val="0008160C"/>
    <w:rsid w:val="000816C1"/>
    <w:rsid w:val="00082563"/>
    <w:rsid w:val="00083C2D"/>
    <w:rsid w:val="0008465E"/>
    <w:rsid w:val="000849BA"/>
    <w:rsid w:val="000860CC"/>
    <w:rsid w:val="00086156"/>
    <w:rsid w:val="0008693D"/>
    <w:rsid w:val="00086970"/>
    <w:rsid w:val="00086D7D"/>
    <w:rsid w:val="00087560"/>
    <w:rsid w:val="000907FC"/>
    <w:rsid w:val="00090EFA"/>
    <w:rsid w:val="00091843"/>
    <w:rsid w:val="00091B65"/>
    <w:rsid w:val="00091F9C"/>
    <w:rsid w:val="00092002"/>
    <w:rsid w:val="0009201A"/>
    <w:rsid w:val="0009214A"/>
    <w:rsid w:val="00092708"/>
    <w:rsid w:val="0009344F"/>
    <w:rsid w:val="000951A1"/>
    <w:rsid w:val="00095921"/>
    <w:rsid w:val="00096054"/>
    <w:rsid w:val="00096C41"/>
    <w:rsid w:val="00097172"/>
    <w:rsid w:val="000A00C2"/>
    <w:rsid w:val="000A0FBA"/>
    <w:rsid w:val="000A1081"/>
    <w:rsid w:val="000A2101"/>
    <w:rsid w:val="000A2DAC"/>
    <w:rsid w:val="000A32AA"/>
    <w:rsid w:val="000A366E"/>
    <w:rsid w:val="000A3676"/>
    <w:rsid w:val="000A3905"/>
    <w:rsid w:val="000A3AEB"/>
    <w:rsid w:val="000A4617"/>
    <w:rsid w:val="000A4653"/>
    <w:rsid w:val="000A4D9D"/>
    <w:rsid w:val="000A6845"/>
    <w:rsid w:val="000A6BF8"/>
    <w:rsid w:val="000A6D83"/>
    <w:rsid w:val="000A7621"/>
    <w:rsid w:val="000B098B"/>
    <w:rsid w:val="000B1456"/>
    <w:rsid w:val="000B207E"/>
    <w:rsid w:val="000B2399"/>
    <w:rsid w:val="000B28FD"/>
    <w:rsid w:val="000B3E7F"/>
    <w:rsid w:val="000B454E"/>
    <w:rsid w:val="000B4C94"/>
    <w:rsid w:val="000B4FB9"/>
    <w:rsid w:val="000B5216"/>
    <w:rsid w:val="000B551B"/>
    <w:rsid w:val="000B5571"/>
    <w:rsid w:val="000B67B5"/>
    <w:rsid w:val="000B6C09"/>
    <w:rsid w:val="000B706D"/>
    <w:rsid w:val="000B71E1"/>
    <w:rsid w:val="000B74AA"/>
    <w:rsid w:val="000C0515"/>
    <w:rsid w:val="000C0894"/>
    <w:rsid w:val="000C090C"/>
    <w:rsid w:val="000C1790"/>
    <w:rsid w:val="000C17D9"/>
    <w:rsid w:val="000C29CC"/>
    <w:rsid w:val="000C2B9F"/>
    <w:rsid w:val="000C312C"/>
    <w:rsid w:val="000C37CE"/>
    <w:rsid w:val="000C4F83"/>
    <w:rsid w:val="000C542F"/>
    <w:rsid w:val="000C5443"/>
    <w:rsid w:val="000C59FD"/>
    <w:rsid w:val="000C6734"/>
    <w:rsid w:val="000C6DC6"/>
    <w:rsid w:val="000C742A"/>
    <w:rsid w:val="000D09D3"/>
    <w:rsid w:val="000D0D41"/>
    <w:rsid w:val="000D151D"/>
    <w:rsid w:val="000D1611"/>
    <w:rsid w:val="000D19B4"/>
    <w:rsid w:val="000D1E28"/>
    <w:rsid w:val="000D27A7"/>
    <w:rsid w:val="000D31F3"/>
    <w:rsid w:val="000D3310"/>
    <w:rsid w:val="000D40B8"/>
    <w:rsid w:val="000D4635"/>
    <w:rsid w:val="000D530F"/>
    <w:rsid w:val="000D5E36"/>
    <w:rsid w:val="000D6031"/>
    <w:rsid w:val="000D6811"/>
    <w:rsid w:val="000D7B51"/>
    <w:rsid w:val="000E016A"/>
    <w:rsid w:val="000E1EF4"/>
    <w:rsid w:val="000E38F3"/>
    <w:rsid w:val="000E5081"/>
    <w:rsid w:val="000E5226"/>
    <w:rsid w:val="000E53B2"/>
    <w:rsid w:val="000E5B75"/>
    <w:rsid w:val="000E5CCD"/>
    <w:rsid w:val="000E6046"/>
    <w:rsid w:val="000E7B51"/>
    <w:rsid w:val="000E7CBD"/>
    <w:rsid w:val="000F0221"/>
    <w:rsid w:val="000F04D9"/>
    <w:rsid w:val="000F09FF"/>
    <w:rsid w:val="000F0F13"/>
    <w:rsid w:val="000F14F2"/>
    <w:rsid w:val="000F27CE"/>
    <w:rsid w:val="000F2EF8"/>
    <w:rsid w:val="000F322C"/>
    <w:rsid w:val="000F41D6"/>
    <w:rsid w:val="000F43A8"/>
    <w:rsid w:val="000F4608"/>
    <w:rsid w:val="000F4923"/>
    <w:rsid w:val="000F4F6D"/>
    <w:rsid w:val="000F59AC"/>
    <w:rsid w:val="000F6A67"/>
    <w:rsid w:val="000F7A6D"/>
    <w:rsid w:val="00100386"/>
    <w:rsid w:val="00101512"/>
    <w:rsid w:val="00101713"/>
    <w:rsid w:val="00101C3E"/>
    <w:rsid w:val="00102B29"/>
    <w:rsid w:val="001030DD"/>
    <w:rsid w:val="001049D0"/>
    <w:rsid w:val="00104C79"/>
    <w:rsid w:val="001052CE"/>
    <w:rsid w:val="0010543C"/>
    <w:rsid w:val="0010569F"/>
    <w:rsid w:val="00105B9B"/>
    <w:rsid w:val="00105DE6"/>
    <w:rsid w:val="00106025"/>
    <w:rsid w:val="00106273"/>
    <w:rsid w:val="0010655B"/>
    <w:rsid w:val="00106AC7"/>
    <w:rsid w:val="00106B18"/>
    <w:rsid w:val="00110487"/>
    <w:rsid w:val="00111D0F"/>
    <w:rsid w:val="00112478"/>
    <w:rsid w:val="00112D7F"/>
    <w:rsid w:val="00112D80"/>
    <w:rsid w:val="00113FBC"/>
    <w:rsid w:val="00114548"/>
    <w:rsid w:val="001148BA"/>
    <w:rsid w:val="001149EF"/>
    <w:rsid w:val="0011507A"/>
    <w:rsid w:val="00115426"/>
    <w:rsid w:val="00115F63"/>
    <w:rsid w:val="00116351"/>
    <w:rsid w:val="0011652B"/>
    <w:rsid w:val="001167CB"/>
    <w:rsid w:val="00116ACA"/>
    <w:rsid w:val="00116F07"/>
    <w:rsid w:val="00116F2E"/>
    <w:rsid w:val="0011742B"/>
    <w:rsid w:val="00120299"/>
    <w:rsid w:val="001225F4"/>
    <w:rsid w:val="0012321C"/>
    <w:rsid w:val="00123A6A"/>
    <w:rsid w:val="001246C8"/>
    <w:rsid w:val="00127353"/>
    <w:rsid w:val="00127948"/>
    <w:rsid w:val="00127A0E"/>
    <w:rsid w:val="00130A90"/>
    <w:rsid w:val="00131B62"/>
    <w:rsid w:val="001321B7"/>
    <w:rsid w:val="001321ED"/>
    <w:rsid w:val="0013285B"/>
    <w:rsid w:val="00132F3C"/>
    <w:rsid w:val="00133124"/>
    <w:rsid w:val="001332F8"/>
    <w:rsid w:val="00133BE7"/>
    <w:rsid w:val="001346D5"/>
    <w:rsid w:val="00135171"/>
    <w:rsid w:val="00135A4B"/>
    <w:rsid w:val="001361FC"/>
    <w:rsid w:val="00136333"/>
    <w:rsid w:val="0013671C"/>
    <w:rsid w:val="0013692E"/>
    <w:rsid w:val="0013701C"/>
    <w:rsid w:val="0013747F"/>
    <w:rsid w:val="00137D9A"/>
    <w:rsid w:val="00140553"/>
    <w:rsid w:val="001407C2"/>
    <w:rsid w:val="00140A8D"/>
    <w:rsid w:val="00140B37"/>
    <w:rsid w:val="00141088"/>
    <w:rsid w:val="00141E47"/>
    <w:rsid w:val="00141F85"/>
    <w:rsid w:val="00146162"/>
    <w:rsid w:val="00146433"/>
    <w:rsid w:val="00146CD5"/>
    <w:rsid w:val="00146F96"/>
    <w:rsid w:val="00147577"/>
    <w:rsid w:val="00147ACA"/>
    <w:rsid w:val="0015032D"/>
    <w:rsid w:val="00151146"/>
    <w:rsid w:val="001516FD"/>
    <w:rsid w:val="001525C3"/>
    <w:rsid w:val="00152F55"/>
    <w:rsid w:val="0015348C"/>
    <w:rsid w:val="00153961"/>
    <w:rsid w:val="00153C4F"/>
    <w:rsid w:val="00153F68"/>
    <w:rsid w:val="001540AA"/>
    <w:rsid w:val="00155CD7"/>
    <w:rsid w:val="00156C12"/>
    <w:rsid w:val="0015743B"/>
    <w:rsid w:val="00157625"/>
    <w:rsid w:val="001609FB"/>
    <w:rsid w:val="00160BE3"/>
    <w:rsid w:val="00160EB6"/>
    <w:rsid w:val="001616A1"/>
    <w:rsid w:val="00161AF6"/>
    <w:rsid w:val="0016293F"/>
    <w:rsid w:val="00163F1D"/>
    <w:rsid w:val="0016522C"/>
    <w:rsid w:val="00165416"/>
    <w:rsid w:val="0016581E"/>
    <w:rsid w:val="001663A0"/>
    <w:rsid w:val="0016645C"/>
    <w:rsid w:val="0016686A"/>
    <w:rsid w:val="00166B76"/>
    <w:rsid w:val="00166B83"/>
    <w:rsid w:val="00166BD4"/>
    <w:rsid w:val="00166DD2"/>
    <w:rsid w:val="00167E19"/>
    <w:rsid w:val="00170218"/>
    <w:rsid w:val="001705D1"/>
    <w:rsid w:val="00170700"/>
    <w:rsid w:val="00170B84"/>
    <w:rsid w:val="00171DD4"/>
    <w:rsid w:val="00172C24"/>
    <w:rsid w:val="00172D0D"/>
    <w:rsid w:val="0017304F"/>
    <w:rsid w:val="00174857"/>
    <w:rsid w:val="001754FA"/>
    <w:rsid w:val="0017619B"/>
    <w:rsid w:val="001762D5"/>
    <w:rsid w:val="00176C43"/>
    <w:rsid w:val="00176FA8"/>
    <w:rsid w:val="00177BAF"/>
    <w:rsid w:val="00177E3C"/>
    <w:rsid w:val="00180501"/>
    <w:rsid w:val="0018150D"/>
    <w:rsid w:val="0018173D"/>
    <w:rsid w:val="001823B7"/>
    <w:rsid w:val="00182EDA"/>
    <w:rsid w:val="00183300"/>
    <w:rsid w:val="001835D0"/>
    <w:rsid w:val="00183751"/>
    <w:rsid w:val="001838AB"/>
    <w:rsid w:val="00183F87"/>
    <w:rsid w:val="0018440A"/>
    <w:rsid w:val="0018443D"/>
    <w:rsid w:val="001844D0"/>
    <w:rsid w:val="00184540"/>
    <w:rsid w:val="00184632"/>
    <w:rsid w:val="00184E25"/>
    <w:rsid w:val="00185182"/>
    <w:rsid w:val="00186515"/>
    <w:rsid w:val="00186AE5"/>
    <w:rsid w:val="001916BB"/>
    <w:rsid w:val="001919CE"/>
    <w:rsid w:val="001919ED"/>
    <w:rsid w:val="00191DA0"/>
    <w:rsid w:val="001924AC"/>
    <w:rsid w:val="00193247"/>
    <w:rsid w:val="00193802"/>
    <w:rsid w:val="00194805"/>
    <w:rsid w:val="00194AC1"/>
    <w:rsid w:val="001960F4"/>
    <w:rsid w:val="0019719B"/>
    <w:rsid w:val="001973CD"/>
    <w:rsid w:val="001977FA"/>
    <w:rsid w:val="00197A75"/>
    <w:rsid w:val="00197CD4"/>
    <w:rsid w:val="001A0BA1"/>
    <w:rsid w:val="001A0E60"/>
    <w:rsid w:val="001A1152"/>
    <w:rsid w:val="001A1568"/>
    <w:rsid w:val="001A1AEA"/>
    <w:rsid w:val="001A2CEE"/>
    <w:rsid w:val="001A39E2"/>
    <w:rsid w:val="001A3D44"/>
    <w:rsid w:val="001A463C"/>
    <w:rsid w:val="001A4D93"/>
    <w:rsid w:val="001A54FD"/>
    <w:rsid w:val="001A5C06"/>
    <w:rsid w:val="001A607F"/>
    <w:rsid w:val="001A63B5"/>
    <w:rsid w:val="001A67C9"/>
    <w:rsid w:val="001A6DD5"/>
    <w:rsid w:val="001A6FF1"/>
    <w:rsid w:val="001A7430"/>
    <w:rsid w:val="001A7D71"/>
    <w:rsid w:val="001B06D5"/>
    <w:rsid w:val="001B0B47"/>
    <w:rsid w:val="001B0C5B"/>
    <w:rsid w:val="001B15C7"/>
    <w:rsid w:val="001B1898"/>
    <w:rsid w:val="001B1E31"/>
    <w:rsid w:val="001B2189"/>
    <w:rsid w:val="001B26E4"/>
    <w:rsid w:val="001B305C"/>
    <w:rsid w:val="001B38A7"/>
    <w:rsid w:val="001B38AC"/>
    <w:rsid w:val="001B38C7"/>
    <w:rsid w:val="001B3BCC"/>
    <w:rsid w:val="001B4C5C"/>
    <w:rsid w:val="001B536A"/>
    <w:rsid w:val="001B541A"/>
    <w:rsid w:val="001B5E5F"/>
    <w:rsid w:val="001B6ABB"/>
    <w:rsid w:val="001B6E2D"/>
    <w:rsid w:val="001B73C4"/>
    <w:rsid w:val="001B7687"/>
    <w:rsid w:val="001B774F"/>
    <w:rsid w:val="001C03B9"/>
    <w:rsid w:val="001C077A"/>
    <w:rsid w:val="001C2201"/>
    <w:rsid w:val="001C2F82"/>
    <w:rsid w:val="001C34E2"/>
    <w:rsid w:val="001C3842"/>
    <w:rsid w:val="001C3D9D"/>
    <w:rsid w:val="001C4CAC"/>
    <w:rsid w:val="001C58E2"/>
    <w:rsid w:val="001C6A6F"/>
    <w:rsid w:val="001C6C72"/>
    <w:rsid w:val="001C7215"/>
    <w:rsid w:val="001C7D08"/>
    <w:rsid w:val="001D0357"/>
    <w:rsid w:val="001D0358"/>
    <w:rsid w:val="001D129A"/>
    <w:rsid w:val="001D146D"/>
    <w:rsid w:val="001D153F"/>
    <w:rsid w:val="001D1A65"/>
    <w:rsid w:val="001D28BE"/>
    <w:rsid w:val="001D45B4"/>
    <w:rsid w:val="001D4732"/>
    <w:rsid w:val="001D49F3"/>
    <w:rsid w:val="001D54F7"/>
    <w:rsid w:val="001D5729"/>
    <w:rsid w:val="001D6137"/>
    <w:rsid w:val="001D7568"/>
    <w:rsid w:val="001E036E"/>
    <w:rsid w:val="001E0644"/>
    <w:rsid w:val="001E1CCC"/>
    <w:rsid w:val="001E1DEE"/>
    <w:rsid w:val="001E229F"/>
    <w:rsid w:val="001E2B32"/>
    <w:rsid w:val="001E2C07"/>
    <w:rsid w:val="001E2E44"/>
    <w:rsid w:val="001E33E6"/>
    <w:rsid w:val="001E3D32"/>
    <w:rsid w:val="001E43B7"/>
    <w:rsid w:val="001E4C93"/>
    <w:rsid w:val="001E56F2"/>
    <w:rsid w:val="001E5D44"/>
    <w:rsid w:val="001E6598"/>
    <w:rsid w:val="001E6754"/>
    <w:rsid w:val="001E6931"/>
    <w:rsid w:val="001E6C68"/>
    <w:rsid w:val="001E6EEC"/>
    <w:rsid w:val="001E7785"/>
    <w:rsid w:val="001E7A4B"/>
    <w:rsid w:val="001E7F5F"/>
    <w:rsid w:val="001F0323"/>
    <w:rsid w:val="001F07CB"/>
    <w:rsid w:val="001F1B1B"/>
    <w:rsid w:val="001F2E35"/>
    <w:rsid w:val="001F36A5"/>
    <w:rsid w:val="001F3708"/>
    <w:rsid w:val="001F4494"/>
    <w:rsid w:val="001F45D5"/>
    <w:rsid w:val="001F496D"/>
    <w:rsid w:val="001F4AED"/>
    <w:rsid w:val="001F4B3F"/>
    <w:rsid w:val="001F617D"/>
    <w:rsid w:val="001F66A4"/>
    <w:rsid w:val="001F67B6"/>
    <w:rsid w:val="001F6E2F"/>
    <w:rsid w:val="001F71F2"/>
    <w:rsid w:val="001F75B1"/>
    <w:rsid w:val="001F7DDF"/>
    <w:rsid w:val="002000BD"/>
    <w:rsid w:val="00200EDC"/>
    <w:rsid w:val="00201B64"/>
    <w:rsid w:val="00201B6C"/>
    <w:rsid w:val="00201F0E"/>
    <w:rsid w:val="00202291"/>
    <w:rsid w:val="002024B3"/>
    <w:rsid w:val="00203753"/>
    <w:rsid w:val="00204739"/>
    <w:rsid w:val="00204BD8"/>
    <w:rsid w:val="002059E5"/>
    <w:rsid w:val="00206B68"/>
    <w:rsid w:val="0021091A"/>
    <w:rsid w:val="00211B93"/>
    <w:rsid w:val="002124B9"/>
    <w:rsid w:val="0021342B"/>
    <w:rsid w:val="00213826"/>
    <w:rsid w:val="00214AB8"/>
    <w:rsid w:val="00215205"/>
    <w:rsid w:val="00215C83"/>
    <w:rsid w:val="00216061"/>
    <w:rsid w:val="00216F06"/>
    <w:rsid w:val="002177D8"/>
    <w:rsid w:val="002179BE"/>
    <w:rsid w:val="00220174"/>
    <w:rsid w:val="002202B0"/>
    <w:rsid w:val="002206B8"/>
    <w:rsid w:val="00220924"/>
    <w:rsid w:val="00220990"/>
    <w:rsid w:val="002209A4"/>
    <w:rsid w:val="00220BB8"/>
    <w:rsid w:val="00220D05"/>
    <w:rsid w:val="00220E5E"/>
    <w:rsid w:val="0022150D"/>
    <w:rsid w:val="00221B9C"/>
    <w:rsid w:val="00222FD2"/>
    <w:rsid w:val="00223277"/>
    <w:rsid w:val="0022360A"/>
    <w:rsid w:val="0022436F"/>
    <w:rsid w:val="002249F5"/>
    <w:rsid w:val="00225078"/>
    <w:rsid w:val="002252CF"/>
    <w:rsid w:val="002253C4"/>
    <w:rsid w:val="002265E6"/>
    <w:rsid w:val="002266B6"/>
    <w:rsid w:val="00226F79"/>
    <w:rsid w:val="00227758"/>
    <w:rsid w:val="00227792"/>
    <w:rsid w:val="00227DEE"/>
    <w:rsid w:val="00230254"/>
    <w:rsid w:val="002306C6"/>
    <w:rsid w:val="00230EB1"/>
    <w:rsid w:val="00231736"/>
    <w:rsid w:val="0023182C"/>
    <w:rsid w:val="00231ECE"/>
    <w:rsid w:val="00233730"/>
    <w:rsid w:val="0023395C"/>
    <w:rsid w:val="00235217"/>
    <w:rsid w:val="00235841"/>
    <w:rsid w:val="00235B8F"/>
    <w:rsid w:val="00236644"/>
    <w:rsid w:val="0023671A"/>
    <w:rsid w:val="00236D49"/>
    <w:rsid w:val="00240562"/>
    <w:rsid w:val="0024060F"/>
    <w:rsid w:val="002411DA"/>
    <w:rsid w:val="00241330"/>
    <w:rsid w:val="00241FBE"/>
    <w:rsid w:val="002423F7"/>
    <w:rsid w:val="002427B0"/>
    <w:rsid w:val="00242B1A"/>
    <w:rsid w:val="002436D4"/>
    <w:rsid w:val="0024393B"/>
    <w:rsid w:val="00244306"/>
    <w:rsid w:val="002444B8"/>
    <w:rsid w:val="002459BA"/>
    <w:rsid w:val="00246706"/>
    <w:rsid w:val="002471C2"/>
    <w:rsid w:val="00247A69"/>
    <w:rsid w:val="00247A75"/>
    <w:rsid w:val="00247C9A"/>
    <w:rsid w:val="00247C9D"/>
    <w:rsid w:val="0025034A"/>
    <w:rsid w:val="00250B0F"/>
    <w:rsid w:val="00251285"/>
    <w:rsid w:val="00251CF1"/>
    <w:rsid w:val="00251CF2"/>
    <w:rsid w:val="0025293D"/>
    <w:rsid w:val="00252E4C"/>
    <w:rsid w:val="00253887"/>
    <w:rsid w:val="00253E03"/>
    <w:rsid w:val="00254093"/>
    <w:rsid w:val="0025452F"/>
    <w:rsid w:val="00254C41"/>
    <w:rsid w:val="002553EA"/>
    <w:rsid w:val="00255DDD"/>
    <w:rsid w:val="0025685C"/>
    <w:rsid w:val="00256903"/>
    <w:rsid w:val="00256BBA"/>
    <w:rsid w:val="00257C34"/>
    <w:rsid w:val="00257CC4"/>
    <w:rsid w:val="0026062E"/>
    <w:rsid w:val="00260B7F"/>
    <w:rsid w:val="002610C7"/>
    <w:rsid w:val="00261234"/>
    <w:rsid w:val="002614ED"/>
    <w:rsid w:val="00263A42"/>
    <w:rsid w:val="00263A82"/>
    <w:rsid w:val="002646B3"/>
    <w:rsid w:val="00265693"/>
    <w:rsid w:val="00265ACF"/>
    <w:rsid w:val="00266DA5"/>
    <w:rsid w:val="002672A1"/>
    <w:rsid w:val="002675E6"/>
    <w:rsid w:val="0026795A"/>
    <w:rsid w:val="0027005A"/>
    <w:rsid w:val="00270649"/>
    <w:rsid w:val="002706FD"/>
    <w:rsid w:val="00272F5E"/>
    <w:rsid w:val="00273421"/>
    <w:rsid w:val="0027409C"/>
    <w:rsid w:val="002741A4"/>
    <w:rsid w:val="00274667"/>
    <w:rsid w:val="00274EE2"/>
    <w:rsid w:val="002754B5"/>
    <w:rsid w:val="00275948"/>
    <w:rsid w:val="0027622F"/>
    <w:rsid w:val="002779B4"/>
    <w:rsid w:val="00277F53"/>
    <w:rsid w:val="00280667"/>
    <w:rsid w:val="00280B81"/>
    <w:rsid w:val="00281229"/>
    <w:rsid w:val="002815D1"/>
    <w:rsid w:val="00282AE2"/>
    <w:rsid w:val="00282EEF"/>
    <w:rsid w:val="00283B71"/>
    <w:rsid w:val="00284FD0"/>
    <w:rsid w:val="00285207"/>
    <w:rsid w:val="002856C5"/>
    <w:rsid w:val="00285BE7"/>
    <w:rsid w:val="0028685F"/>
    <w:rsid w:val="002874F4"/>
    <w:rsid w:val="002876F6"/>
    <w:rsid w:val="0028783E"/>
    <w:rsid w:val="00287900"/>
    <w:rsid w:val="00290C16"/>
    <w:rsid w:val="00290DFE"/>
    <w:rsid w:val="0029115F"/>
    <w:rsid w:val="00291887"/>
    <w:rsid w:val="00291BE1"/>
    <w:rsid w:val="00291EA3"/>
    <w:rsid w:val="00293045"/>
    <w:rsid w:val="0029324D"/>
    <w:rsid w:val="00293610"/>
    <w:rsid w:val="00293B75"/>
    <w:rsid w:val="002941E6"/>
    <w:rsid w:val="002944E3"/>
    <w:rsid w:val="00294973"/>
    <w:rsid w:val="00294A70"/>
    <w:rsid w:val="00294A84"/>
    <w:rsid w:val="00295235"/>
    <w:rsid w:val="00295A74"/>
    <w:rsid w:val="00295D73"/>
    <w:rsid w:val="002960A5"/>
    <w:rsid w:val="00296793"/>
    <w:rsid w:val="002973B1"/>
    <w:rsid w:val="002978F5"/>
    <w:rsid w:val="002A0A25"/>
    <w:rsid w:val="002A0AE8"/>
    <w:rsid w:val="002A0CC9"/>
    <w:rsid w:val="002A1024"/>
    <w:rsid w:val="002A194B"/>
    <w:rsid w:val="002A2DEC"/>
    <w:rsid w:val="002A320B"/>
    <w:rsid w:val="002A33F6"/>
    <w:rsid w:val="002A3D8D"/>
    <w:rsid w:val="002A3E8D"/>
    <w:rsid w:val="002A3FEA"/>
    <w:rsid w:val="002A4C9B"/>
    <w:rsid w:val="002A4CED"/>
    <w:rsid w:val="002A655D"/>
    <w:rsid w:val="002A6AD8"/>
    <w:rsid w:val="002A7317"/>
    <w:rsid w:val="002A76C5"/>
    <w:rsid w:val="002A79B8"/>
    <w:rsid w:val="002A7EB6"/>
    <w:rsid w:val="002A7EDE"/>
    <w:rsid w:val="002B1AFF"/>
    <w:rsid w:val="002B23F5"/>
    <w:rsid w:val="002B2DD3"/>
    <w:rsid w:val="002B37B7"/>
    <w:rsid w:val="002B3C63"/>
    <w:rsid w:val="002B4FA2"/>
    <w:rsid w:val="002B50E9"/>
    <w:rsid w:val="002B5C82"/>
    <w:rsid w:val="002B5EF5"/>
    <w:rsid w:val="002B7494"/>
    <w:rsid w:val="002B7EC2"/>
    <w:rsid w:val="002C01D5"/>
    <w:rsid w:val="002C127E"/>
    <w:rsid w:val="002C1AEE"/>
    <w:rsid w:val="002C1EB4"/>
    <w:rsid w:val="002C203C"/>
    <w:rsid w:val="002C241A"/>
    <w:rsid w:val="002C25EC"/>
    <w:rsid w:val="002C2A83"/>
    <w:rsid w:val="002C333B"/>
    <w:rsid w:val="002C6918"/>
    <w:rsid w:val="002C69AC"/>
    <w:rsid w:val="002C69E1"/>
    <w:rsid w:val="002C713C"/>
    <w:rsid w:val="002C719B"/>
    <w:rsid w:val="002C7428"/>
    <w:rsid w:val="002C7848"/>
    <w:rsid w:val="002D047B"/>
    <w:rsid w:val="002D0B17"/>
    <w:rsid w:val="002D0B92"/>
    <w:rsid w:val="002D0BCF"/>
    <w:rsid w:val="002D0BE1"/>
    <w:rsid w:val="002D19A4"/>
    <w:rsid w:val="002D2C5C"/>
    <w:rsid w:val="002D2CEC"/>
    <w:rsid w:val="002D2D4A"/>
    <w:rsid w:val="002D36E7"/>
    <w:rsid w:val="002D3FF0"/>
    <w:rsid w:val="002D407D"/>
    <w:rsid w:val="002D4181"/>
    <w:rsid w:val="002D506B"/>
    <w:rsid w:val="002D52AE"/>
    <w:rsid w:val="002D52C6"/>
    <w:rsid w:val="002D6A7F"/>
    <w:rsid w:val="002D6EFF"/>
    <w:rsid w:val="002D7CB7"/>
    <w:rsid w:val="002E03B6"/>
    <w:rsid w:val="002E0B8B"/>
    <w:rsid w:val="002E1B78"/>
    <w:rsid w:val="002E1C03"/>
    <w:rsid w:val="002E1C0A"/>
    <w:rsid w:val="002E23C8"/>
    <w:rsid w:val="002E2BCF"/>
    <w:rsid w:val="002E2D9C"/>
    <w:rsid w:val="002E2F14"/>
    <w:rsid w:val="002E2F9D"/>
    <w:rsid w:val="002E362C"/>
    <w:rsid w:val="002E3FFC"/>
    <w:rsid w:val="002E44BE"/>
    <w:rsid w:val="002E497B"/>
    <w:rsid w:val="002E4E46"/>
    <w:rsid w:val="002E5DFC"/>
    <w:rsid w:val="002E5E82"/>
    <w:rsid w:val="002E65D7"/>
    <w:rsid w:val="002E6B0F"/>
    <w:rsid w:val="002E6C14"/>
    <w:rsid w:val="002E6C45"/>
    <w:rsid w:val="002E7F6B"/>
    <w:rsid w:val="002F049F"/>
    <w:rsid w:val="002F0AC7"/>
    <w:rsid w:val="002F1B24"/>
    <w:rsid w:val="002F224D"/>
    <w:rsid w:val="002F2AAE"/>
    <w:rsid w:val="002F2AE6"/>
    <w:rsid w:val="002F33D1"/>
    <w:rsid w:val="002F3C20"/>
    <w:rsid w:val="002F48CF"/>
    <w:rsid w:val="002F5B27"/>
    <w:rsid w:val="002F60FC"/>
    <w:rsid w:val="002F62B6"/>
    <w:rsid w:val="002F6D95"/>
    <w:rsid w:val="002F735E"/>
    <w:rsid w:val="0030017E"/>
    <w:rsid w:val="00301570"/>
    <w:rsid w:val="003019F6"/>
    <w:rsid w:val="00302891"/>
    <w:rsid w:val="00302B00"/>
    <w:rsid w:val="00303459"/>
    <w:rsid w:val="0030366B"/>
    <w:rsid w:val="00304523"/>
    <w:rsid w:val="00304895"/>
    <w:rsid w:val="003053CB"/>
    <w:rsid w:val="00305ECD"/>
    <w:rsid w:val="00305F88"/>
    <w:rsid w:val="003066A1"/>
    <w:rsid w:val="0030671C"/>
    <w:rsid w:val="003067D5"/>
    <w:rsid w:val="00306965"/>
    <w:rsid w:val="00306B7D"/>
    <w:rsid w:val="003102FE"/>
    <w:rsid w:val="00311E8D"/>
    <w:rsid w:val="00312C95"/>
    <w:rsid w:val="00313643"/>
    <w:rsid w:val="00313E68"/>
    <w:rsid w:val="00315667"/>
    <w:rsid w:val="00316BBA"/>
    <w:rsid w:val="00317995"/>
    <w:rsid w:val="00320310"/>
    <w:rsid w:val="00320541"/>
    <w:rsid w:val="00321903"/>
    <w:rsid w:val="00321A73"/>
    <w:rsid w:val="00321D41"/>
    <w:rsid w:val="00322B46"/>
    <w:rsid w:val="0032397B"/>
    <w:rsid w:val="00324023"/>
    <w:rsid w:val="0032461A"/>
    <w:rsid w:val="00324806"/>
    <w:rsid w:val="003252F4"/>
    <w:rsid w:val="00326244"/>
    <w:rsid w:val="00326AA8"/>
    <w:rsid w:val="00326DAE"/>
    <w:rsid w:val="00330859"/>
    <w:rsid w:val="00330A99"/>
    <w:rsid w:val="00330B0C"/>
    <w:rsid w:val="0033146D"/>
    <w:rsid w:val="00331A36"/>
    <w:rsid w:val="00332EFC"/>
    <w:rsid w:val="00332F08"/>
    <w:rsid w:val="0033382C"/>
    <w:rsid w:val="00333F62"/>
    <w:rsid w:val="0033402C"/>
    <w:rsid w:val="00334683"/>
    <w:rsid w:val="00335C10"/>
    <w:rsid w:val="003368F3"/>
    <w:rsid w:val="0033768E"/>
    <w:rsid w:val="003376FF"/>
    <w:rsid w:val="00337B5F"/>
    <w:rsid w:val="00337FAA"/>
    <w:rsid w:val="003400AE"/>
    <w:rsid w:val="00340B28"/>
    <w:rsid w:val="00340B97"/>
    <w:rsid w:val="00340CE7"/>
    <w:rsid w:val="00341159"/>
    <w:rsid w:val="00341F7B"/>
    <w:rsid w:val="0034264E"/>
    <w:rsid w:val="00342936"/>
    <w:rsid w:val="00342F60"/>
    <w:rsid w:val="003437DA"/>
    <w:rsid w:val="00343D71"/>
    <w:rsid w:val="00344D28"/>
    <w:rsid w:val="00345B12"/>
    <w:rsid w:val="00345C8B"/>
    <w:rsid w:val="00345D8E"/>
    <w:rsid w:val="00346D3F"/>
    <w:rsid w:val="0034782C"/>
    <w:rsid w:val="00347B7A"/>
    <w:rsid w:val="00347C93"/>
    <w:rsid w:val="003502C1"/>
    <w:rsid w:val="003505E3"/>
    <w:rsid w:val="003506DB"/>
    <w:rsid w:val="00350DB7"/>
    <w:rsid w:val="00351EDF"/>
    <w:rsid w:val="00352480"/>
    <w:rsid w:val="00352499"/>
    <w:rsid w:val="003529E8"/>
    <w:rsid w:val="00352F74"/>
    <w:rsid w:val="00354654"/>
    <w:rsid w:val="003548C1"/>
    <w:rsid w:val="00354ABC"/>
    <w:rsid w:val="00355306"/>
    <w:rsid w:val="00356024"/>
    <w:rsid w:val="00356311"/>
    <w:rsid w:val="00356361"/>
    <w:rsid w:val="00356929"/>
    <w:rsid w:val="0036085A"/>
    <w:rsid w:val="00360ADD"/>
    <w:rsid w:val="0036119E"/>
    <w:rsid w:val="00361594"/>
    <w:rsid w:val="0036302E"/>
    <w:rsid w:val="00363379"/>
    <w:rsid w:val="00363450"/>
    <w:rsid w:val="00363793"/>
    <w:rsid w:val="00363905"/>
    <w:rsid w:val="00363E93"/>
    <w:rsid w:val="00364B28"/>
    <w:rsid w:val="00365E55"/>
    <w:rsid w:val="00366A32"/>
    <w:rsid w:val="00366AAD"/>
    <w:rsid w:val="00366B71"/>
    <w:rsid w:val="00366BED"/>
    <w:rsid w:val="0036704B"/>
    <w:rsid w:val="00367319"/>
    <w:rsid w:val="0036767A"/>
    <w:rsid w:val="0037190F"/>
    <w:rsid w:val="00371ACE"/>
    <w:rsid w:val="003725C1"/>
    <w:rsid w:val="00372A98"/>
    <w:rsid w:val="00373F8D"/>
    <w:rsid w:val="00373F8E"/>
    <w:rsid w:val="0037441F"/>
    <w:rsid w:val="00374CB7"/>
    <w:rsid w:val="00375182"/>
    <w:rsid w:val="00375E61"/>
    <w:rsid w:val="00376AA0"/>
    <w:rsid w:val="00377B8D"/>
    <w:rsid w:val="00380719"/>
    <w:rsid w:val="00381439"/>
    <w:rsid w:val="00382292"/>
    <w:rsid w:val="00382DA7"/>
    <w:rsid w:val="00383C23"/>
    <w:rsid w:val="0038467A"/>
    <w:rsid w:val="0038562C"/>
    <w:rsid w:val="0038563C"/>
    <w:rsid w:val="003856E8"/>
    <w:rsid w:val="00385BB7"/>
    <w:rsid w:val="00385DBD"/>
    <w:rsid w:val="00386AF7"/>
    <w:rsid w:val="00386FD1"/>
    <w:rsid w:val="003902FA"/>
    <w:rsid w:val="00391176"/>
    <w:rsid w:val="0039119C"/>
    <w:rsid w:val="00392723"/>
    <w:rsid w:val="0039396F"/>
    <w:rsid w:val="00394162"/>
    <w:rsid w:val="003941DF"/>
    <w:rsid w:val="0039481F"/>
    <w:rsid w:val="0039555A"/>
    <w:rsid w:val="00395C6F"/>
    <w:rsid w:val="00396293"/>
    <w:rsid w:val="00396485"/>
    <w:rsid w:val="003965E0"/>
    <w:rsid w:val="00397974"/>
    <w:rsid w:val="003A05BB"/>
    <w:rsid w:val="003A0BE7"/>
    <w:rsid w:val="003A1B97"/>
    <w:rsid w:val="003A220A"/>
    <w:rsid w:val="003A2247"/>
    <w:rsid w:val="003A28B9"/>
    <w:rsid w:val="003A2A09"/>
    <w:rsid w:val="003A2B0C"/>
    <w:rsid w:val="003A2EFC"/>
    <w:rsid w:val="003A36BF"/>
    <w:rsid w:val="003A3C9A"/>
    <w:rsid w:val="003A4145"/>
    <w:rsid w:val="003A4867"/>
    <w:rsid w:val="003A4A42"/>
    <w:rsid w:val="003A5690"/>
    <w:rsid w:val="003A6294"/>
    <w:rsid w:val="003A73D9"/>
    <w:rsid w:val="003A7DDE"/>
    <w:rsid w:val="003B15E7"/>
    <w:rsid w:val="003B199E"/>
    <w:rsid w:val="003B1A78"/>
    <w:rsid w:val="003B1F40"/>
    <w:rsid w:val="003B2D2B"/>
    <w:rsid w:val="003B351E"/>
    <w:rsid w:val="003B3532"/>
    <w:rsid w:val="003B3F42"/>
    <w:rsid w:val="003B40A9"/>
    <w:rsid w:val="003B4846"/>
    <w:rsid w:val="003B4E4B"/>
    <w:rsid w:val="003B5653"/>
    <w:rsid w:val="003B60F3"/>
    <w:rsid w:val="003B62EA"/>
    <w:rsid w:val="003B6671"/>
    <w:rsid w:val="003B6B45"/>
    <w:rsid w:val="003B6DC7"/>
    <w:rsid w:val="003B6F28"/>
    <w:rsid w:val="003B71CD"/>
    <w:rsid w:val="003B722B"/>
    <w:rsid w:val="003B7A09"/>
    <w:rsid w:val="003B7D5E"/>
    <w:rsid w:val="003C19C0"/>
    <w:rsid w:val="003C1E85"/>
    <w:rsid w:val="003C23C6"/>
    <w:rsid w:val="003C3511"/>
    <w:rsid w:val="003C39AF"/>
    <w:rsid w:val="003C480E"/>
    <w:rsid w:val="003C4E33"/>
    <w:rsid w:val="003C59FA"/>
    <w:rsid w:val="003C6CED"/>
    <w:rsid w:val="003C6D4D"/>
    <w:rsid w:val="003C7458"/>
    <w:rsid w:val="003C7DD0"/>
    <w:rsid w:val="003D075A"/>
    <w:rsid w:val="003D0A1C"/>
    <w:rsid w:val="003D0C0F"/>
    <w:rsid w:val="003D2452"/>
    <w:rsid w:val="003D27FA"/>
    <w:rsid w:val="003D34A2"/>
    <w:rsid w:val="003D4015"/>
    <w:rsid w:val="003D40EC"/>
    <w:rsid w:val="003D471E"/>
    <w:rsid w:val="003D4A22"/>
    <w:rsid w:val="003D4CDE"/>
    <w:rsid w:val="003D56DB"/>
    <w:rsid w:val="003D5913"/>
    <w:rsid w:val="003D68AD"/>
    <w:rsid w:val="003D697E"/>
    <w:rsid w:val="003E0601"/>
    <w:rsid w:val="003E08F0"/>
    <w:rsid w:val="003E0B28"/>
    <w:rsid w:val="003E1339"/>
    <w:rsid w:val="003E1C05"/>
    <w:rsid w:val="003E276E"/>
    <w:rsid w:val="003E3455"/>
    <w:rsid w:val="003E3CA0"/>
    <w:rsid w:val="003E4FFE"/>
    <w:rsid w:val="003E57DA"/>
    <w:rsid w:val="003E5A03"/>
    <w:rsid w:val="003E678A"/>
    <w:rsid w:val="003E6966"/>
    <w:rsid w:val="003E69BE"/>
    <w:rsid w:val="003E6CA3"/>
    <w:rsid w:val="003E6D57"/>
    <w:rsid w:val="003E747D"/>
    <w:rsid w:val="003F0707"/>
    <w:rsid w:val="003F1BF8"/>
    <w:rsid w:val="003F1FFE"/>
    <w:rsid w:val="003F29CF"/>
    <w:rsid w:val="003F2A2F"/>
    <w:rsid w:val="003F2FD4"/>
    <w:rsid w:val="003F3048"/>
    <w:rsid w:val="003F3947"/>
    <w:rsid w:val="003F3963"/>
    <w:rsid w:val="003F3B28"/>
    <w:rsid w:val="003F4F30"/>
    <w:rsid w:val="003F56D2"/>
    <w:rsid w:val="003F6FF8"/>
    <w:rsid w:val="003F793F"/>
    <w:rsid w:val="003F7A7D"/>
    <w:rsid w:val="003F7BF3"/>
    <w:rsid w:val="00400271"/>
    <w:rsid w:val="004021A3"/>
    <w:rsid w:val="0040220E"/>
    <w:rsid w:val="0040311D"/>
    <w:rsid w:val="0040351E"/>
    <w:rsid w:val="00403B38"/>
    <w:rsid w:val="00403BBC"/>
    <w:rsid w:val="00404058"/>
    <w:rsid w:val="0040447E"/>
    <w:rsid w:val="00404C11"/>
    <w:rsid w:val="00404F9F"/>
    <w:rsid w:val="00405A2D"/>
    <w:rsid w:val="00405BB5"/>
    <w:rsid w:val="0040654E"/>
    <w:rsid w:val="00406967"/>
    <w:rsid w:val="00406D25"/>
    <w:rsid w:val="0040741E"/>
    <w:rsid w:val="004104E1"/>
    <w:rsid w:val="00410BCE"/>
    <w:rsid w:val="00412307"/>
    <w:rsid w:val="00412BC5"/>
    <w:rsid w:val="00415330"/>
    <w:rsid w:val="00415F77"/>
    <w:rsid w:val="004165D3"/>
    <w:rsid w:val="004171A8"/>
    <w:rsid w:val="004172D9"/>
    <w:rsid w:val="00417E84"/>
    <w:rsid w:val="004201E0"/>
    <w:rsid w:val="00420267"/>
    <w:rsid w:val="004206E6"/>
    <w:rsid w:val="0042077C"/>
    <w:rsid w:val="00420AD3"/>
    <w:rsid w:val="00421179"/>
    <w:rsid w:val="004215DA"/>
    <w:rsid w:val="0042173F"/>
    <w:rsid w:val="00421A0F"/>
    <w:rsid w:val="00421B47"/>
    <w:rsid w:val="00421D0E"/>
    <w:rsid w:val="004236E7"/>
    <w:rsid w:val="00425932"/>
    <w:rsid w:val="00425EFB"/>
    <w:rsid w:val="0042663B"/>
    <w:rsid w:val="00426B1E"/>
    <w:rsid w:val="004275C3"/>
    <w:rsid w:val="00430306"/>
    <w:rsid w:val="004306F4"/>
    <w:rsid w:val="00430834"/>
    <w:rsid w:val="0043088F"/>
    <w:rsid w:val="00430DD1"/>
    <w:rsid w:val="00430EB1"/>
    <w:rsid w:val="004323C6"/>
    <w:rsid w:val="00432CF7"/>
    <w:rsid w:val="004336A5"/>
    <w:rsid w:val="00433CE2"/>
    <w:rsid w:val="00433E44"/>
    <w:rsid w:val="0043461D"/>
    <w:rsid w:val="00434A4B"/>
    <w:rsid w:val="00434DB1"/>
    <w:rsid w:val="00436957"/>
    <w:rsid w:val="0043737E"/>
    <w:rsid w:val="00437E07"/>
    <w:rsid w:val="00437ECC"/>
    <w:rsid w:val="00440E5E"/>
    <w:rsid w:val="00441CEC"/>
    <w:rsid w:val="00442248"/>
    <w:rsid w:val="00443355"/>
    <w:rsid w:val="00443C41"/>
    <w:rsid w:val="004444D6"/>
    <w:rsid w:val="004452A2"/>
    <w:rsid w:val="00445DE2"/>
    <w:rsid w:val="00445E7C"/>
    <w:rsid w:val="00446E71"/>
    <w:rsid w:val="004504B9"/>
    <w:rsid w:val="00450C55"/>
    <w:rsid w:val="00450EAD"/>
    <w:rsid w:val="00451BCC"/>
    <w:rsid w:val="004520E1"/>
    <w:rsid w:val="00452312"/>
    <w:rsid w:val="00452754"/>
    <w:rsid w:val="004533C3"/>
    <w:rsid w:val="00453ADB"/>
    <w:rsid w:val="0045474A"/>
    <w:rsid w:val="00454F08"/>
    <w:rsid w:val="004551B8"/>
    <w:rsid w:val="0045544C"/>
    <w:rsid w:val="00455B1E"/>
    <w:rsid w:val="00457A10"/>
    <w:rsid w:val="00457DD6"/>
    <w:rsid w:val="00457E10"/>
    <w:rsid w:val="0046016D"/>
    <w:rsid w:val="00460348"/>
    <w:rsid w:val="00460B9F"/>
    <w:rsid w:val="00460E63"/>
    <w:rsid w:val="004610FA"/>
    <w:rsid w:val="00461922"/>
    <w:rsid w:val="00461A13"/>
    <w:rsid w:val="00462FA6"/>
    <w:rsid w:val="00463074"/>
    <w:rsid w:val="004634A0"/>
    <w:rsid w:val="00463749"/>
    <w:rsid w:val="00464AC1"/>
    <w:rsid w:val="00464DE3"/>
    <w:rsid w:val="004657D6"/>
    <w:rsid w:val="00465D66"/>
    <w:rsid w:val="00465F62"/>
    <w:rsid w:val="0046625B"/>
    <w:rsid w:val="00466C9C"/>
    <w:rsid w:val="00466FE8"/>
    <w:rsid w:val="00467423"/>
    <w:rsid w:val="004675C5"/>
    <w:rsid w:val="0047039D"/>
    <w:rsid w:val="00470A4D"/>
    <w:rsid w:val="00470E8C"/>
    <w:rsid w:val="004713BB"/>
    <w:rsid w:val="00471B15"/>
    <w:rsid w:val="00472268"/>
    <w:rsid w:val="004724B8"/>
    <w:rsid w:val="0047300E"/>
    <w:rsid w:val="0047316B"/>
    <w:rsid w:val="00474127"/>
    <w:rsid w:val="004743E6"/>
    <w:rsid w:val="00475173"/>
    <w:rsid w:val="004752FF"/>
    <w:rsid w:val="0047611F"/>
    <w:rsid w:val="004766CD"/>
    <w:rsid w:val="00477F50"/>
    <w:rsid w:val="00481104"/>
    <w:rsid w:val="0048149B"/>
    <w:rsid w:val="00481687"/>
    <w:rsid w:val="0048212E"/>
    <w:rsid w:val="004824F0"/>
    <w:rsid w:val="00482547"/>
    <w:rsid w:val="004825B6"/>
    <w:rsid w:val="00482B2D"/>
    <w:rsid w:val="00483858"/>
    <w:rsid w:val="00483942"/>
    <w:rsid w:val="00483D91"/>
    <w:rsid w:val="004849D7"/>
    <w:rsid w:val="0048509A"/>
    <w:rsid w:val="00485C8E"/>
    <w:rsid w:val="00486A53"/>
    <w:rsid w:val="00486B93"/>
    <w:rsid w:val="00487412"/>
    <w:rsid w:val="00487BA9"/>
    <w:rsid w:val="00490373"/>
    <w:rsid w:val="004908FC"/>
    <w:rsid w:val="00491A0B"/>
    <w:rsid w:val="00492318"/>
    <w:rsid w:val="00492ABE"/>
    <w:rsid w:val="00492C1E"/>
    <w:rsid w:val="00494959"/>
    <w:rsid w:val="004949A2"/>
    <w:rsid w:val="00494EB2"/>
    <w:rsid w:val="004953AA"/>
    <w:rsid w:val="00495710"/>
    <w:rsid w:val="00495C17"/>
    <w:rsid w:val="00495C51"/>
    <w:rsid w:val="0049657F"/>
    <w:rsid w:val="00496D48"/>
    <w:rsid w:val="00496E44"/>
    <w:rsid w:val="00497D45"/>
    <w:rsid w:val="004A0863"/>
    <w:rsid w:val="004A1159"/>
    <w:rsid w:val="004A29A9"/>
    <w:rsid w:val="004A2FF0"/>
    <w:rsid w:val="004A3550"/>
    <w:rsid w:val="004A3B38"/>
    <w:rsid w:val="004A4165"/>
    <w:rsid w:val="004A4875"/>
    <w:rsid w:val="004A538C"/>
    <w:rsid w:val="004A55D5"/>
    <w:rsid w:val="004A5C24"/>
    <w:rsid w:val="004A5E01"/>
    <w:rsid w:val="004A6625"/>
    <w:rsid w:val="004A6986"/>
    <w:rsid w:val="004A6A2F"/>
    <w:rsid w:val="004A6DAE"/>
    <w:rsid w:val="004A76F4"/>
    <w:rsid w:val="004A792D"/>
    <w:rsid w:val="004A7B16"/>
    <w:rsid w:val="004B084E"/>
    <w:rsid w:val="004B1AB3"/>
    <w:rsid w:val="004B305A"/>
    <w:rsid w:val="004B3084"/>
    <w:rsid w:val="004B3CF3"/>
    <w:rsid w:val="004B3F82"/>
    <w:rsid w:val="004B4FB0"/>
    <w:rsid w:val="004B586B"/>
    <w:rsid w:val="004B5981"/>
    <w:rsid w:val="004B705E"/>
    <w:rsid w:val="004B78F0"/>
    <w:rsid w:val="004B7C2B"/>
    <w:rsid w:val="004B7FA4"/>
    <w:rsid w:val="004C0C1E"/>
    <w:rsid w:val="004C1641"/>
    <w:rsid w:val="004C16DA"/>
    <w:rsid w:val="004C181F"/>
    <w:rsid w:val="004C2567"/>
    <w:rsid w:val="004C29D6"/>
    <w:rsid w:val="004C2D87"/>
    <w:rsid w:val="004C2FF8"/>
    <w:rsid w:val="004C3020"/>
    <w:rsid w:val="004C33EF"/>
    <w:rsid w:val="004C40E1"/>
    <w:rsid w:val="004C4837"/>
    <w:rsid w:val="004C49E8"/>
    <w:rsid w:val="004C4B04"/>
    <w:rsid w:val="004C52A6"/>
    <w:rsid w:val="004C55F0"/>
    <w:rsid w:val="004C5FEE"/>
    <w:rsid w:val="004C65B0"/>
    <w:rsid w:val="004C6815"/>
    <w:rsid w:val="004C6964"/>
    <w:rsid w:val="004C6EC2"/>
    <w:rsid w:val="004C74BB"/>
    <w:rsid w:val="004C751F"/>
    <w:rsid w:val="004C7AE2"/>
    <w:rsid w:val="004D153F"/>
    <w:rsid w:val="004D18CC"/>
    <w:rsid w:val="004D196E"/>
    <w:rsid w:val="004D1BCF"/>
    <w:rsid w:val="004D23B2"/>
    <w:rsid w:val="004D25B7"/>
    <w:rsid w:val="004D331C"/>
    <w:rsid w:val="004D35AB"/>
    <w:rsid w:val="004D435E"/>
    <w:rsid w:val="004D4448"/>
    <w:rsid w:val="004D47A7"/>
    <w:rsid w:val="004D4EF2"/>
    <w:rsid w:val="004D4FC1"/>
    <w:rsid w:val="004D54D1"/>
    <w:rsid w:val="004D60A3"/>
    <w:rsid w:val="004D6593"/>
    <w:rsid w:val="004D77B2"/>
    <w:rsid w:val="004E0E71"/>
    <w:rsid w:val="004E16D3"/>
    <w:rsid w:val="004E1FFF"/>
    <w:rsid w:val="004E25F8"/>
    <w:rsid w:val="004E276F"/>
    <w:rsid w:val="004E2CD7"/>
    <w:rsid w:val="004E2E20"/>
    <w:rsid w:val="004E3A86"/>
    <w:rsid w:val="004E3AFB"/>
    <w:rsid w:val="004E3B06"/>
    <w:rsid w:val="004E4851"/>
    <w:rsid w:val="004E4DAA"/>
    <w:rsid w:val="004E565A"/>
    <w:rsid w:val="004E581C"/>
    <w:rsid w:val="004E5B14"/>
    <w:rsid w:val="004E5E3B"/>
    <w:rsid w:val="004E6566"/>
    <w:rsid w:val="004E6610"/>
    <w:rsid w:val="004E6824"/>
    <w:rsid w:val="004E703C"/>
    <w:rsid w:val="004F0850"/>
    <w:rsid w:val="004F0CC0"/>
    <w:rsid w:val="004F1C31"/>
    <w:rsid w:val="004F1D69"/>
    <w:rsid w:val="004F1EDD"/>
    <w:rsid w:val="004F23D5"/>
    <w:rsid w:val="004F2918"/>
    <w:rsid w:val="004F31B7"/>
    <w:rsid w:val="004F3546"/>
    <w:rsid w:val="004F3DF5"/>
    <w:rsid w:val="004F50DF"/>
    <w:rsid w:val="004F579F"/>
    <w:rsid w:val="004F58EF"/>
    <w:rsid w:val="004F59AE"/>
    <w:rsid w:val="004F5EA0"/>
    <w:rsid w:val="004F64BE"/>
    <w:rsid w:val="004F6ADC"/>
    <w:rsid w:val="004F6FBD"/>
    <w:rsid w:val="004F7210"/>
    <w:rsid w:val="005012BC"/>
    <w:rsid w:val="005019A1"/>
    <w:rsid w:val="00503D50"/>
    <w:rsid w:val="00503FE3"/>
    <w:rsid w:val="0050537E"/>
    <w:rsid w:val="00505462"/>
    <w:rsid w:val="005054BC"/>
    <w:rsid w:val="0050559F"/>
    <w:rsid w:val="0050579F"/>
    <w:rsid w:val="00505B79"/>
    <w:rsid w:val="00505FDA"/>
    <w:rsid w:val="00506C37"/>
    <w:rsid w:val="005075FB"/>
    <w:rsid w:val="00507A98"/>
    <w:rsid w:val="00507D59"/>
    <w:rsid w:val="00507EC8"/>
    <w:rsid w:val="00510543"/>
    <w:rsid w:val="00510E56"/>
    <w:rsid w:val="00510F04"/>
    <w:rsid w:val="00514665"/>
    <w:rsid w:val="005155E5"/>
    <w:rsid w:val="00515BCE"/>
    <w:rsid w:val="00515DD8"/>
    <w:rsid w:val="00517024"/>
    <w:rsid w:val="005170A8"/>
    <w:rsid w:val="00517685"/>
    <w:rsid w:val="005178E8"/>
    <w:rsid w:val="00517949"/>
    <w:rsid w:val="00517A35"/>
    <w:rsid w:val="00520B9A"/>
    <w:rsid w:val="005254B6"/>
    <w:rsid w:val="00525B3C"/>
    <w:rsid w:val="005262BE"/>
    <w:rsid w:val="00527216"/>
    <w:rsid w:val="005304FC"/>
    <w:rsid w:val="00531808"/>
    <w:rsid w:val="00531890"/>
    <w:rsid w:val="00532EC7"/>
    <w:rsid w:val="0053382F"/>
    <w:rsid w:val="005345E2"/>
    <w:rsid w:val="00534872"/>
    <w:rsid w:val="005354E8"/>
    <w:rsid w:val="00535641"/>
    <w:rsid w:val="00535BDC"/>
    <w:rsid w:val="00536367"/>
    <w:rsid w:val="00536935"/>
    <w:rsid w:val="00536972"/>
    <w:rsid w:val="00536AC3"/>
    <w:rsid w:val="00536D75"/>
    <w:rsid w:val="005372A8"/>
    <w:rsid w:val="00537CAA"/>
    <w:rsid w:val="00537FE8"/>
    <w:rsid w:val="00540643"/>
    <w:rsid w:val="005408F8"/>
    <w:rsid w:val="00541B2A"/>
    <w:rsid w:val="00542420"/>
    <w:rsid w:val="005435C3"/>
    <w:rsid w:val="0054492B"/>
    <w:rsid w:val="00544DF3"/>
    <w:rsid w:val="005454AF"/>
    <w:rsid w:val="00546125"/>
    <w:rsid w:val="005468E6"/>
    <w:rsid w:val="00546908"/>
    <w:rsid w:val="00546CC5"/>
    <w:rsid w:val="005472B2"/>
    <w:rsid w:val="005472F9"/>
    <w:rsid w:val="0054739C"/>
    <w:rsid w:val="00547892"/>
    <w:rsid w:val="00547956"/>
    <w:rsid w:val="00550A36"/>
    <w:rsid w:val="00550AA5"/>
    <w:rsid w:val="005514CB"/>
    <w:rsid w:val="005518CC"/>
    <w:rsid w:val="00551E25"/>
    <w:rsid w:val="00552A0E"/>
    <w:rsid w:val="00553724"/>
    <w:rsid w:val="00554219"/>
    <w:rsid w:val="00554C66"/>
    <w:rsid w:val="00554E12"/>
    <w:rsid w:val="00554E8D"/>
    <w:rsid w:val="005552DB"/>
    <w:rsid w:val="0055543A"/>
    <w:rsid w:val="005567BB"/>
    <w:rsid w:val="0055774F"/>
    <w:rsid w:val="00557BA8"/>
    <w:rsid w:val="00557F80"/>
    <w:rsid w:val="005602C3"/>
    <w:rsid w:val="0056060A"/>
    <w:rsid w:val="005609D9"/>
    <w:rsid w:val="00561C11"/>
    <w:rsid w:val="0056204E"/>
    <w:rsid w:val="0056245B"/>
    <w:rsid w:val="005624D3"/>
    <w:rsid w:val="00564484"/>
    <w:rsid w:val="00565552"/>
    <w:rsid w:val="00565937"/>
    <w:rsid w:val="0056679B"/>
    <w:rsid w:val="00566BE0"/>
    <w:rsid w:val="00566CD2"/>
    <w:rsid w:val="005705A8"/>
    <w:rsid w:val="0057158A"/>
    <w:rsid w:val="0057185C"/>
    <w:rsid w:val="00571F7C"/>
    <w:rsid w:val="005725E8"/>
    <w:rsid w:val="00572A33"/>
    <w:rsid w:val="00572E1A"/>
    <w:rsid w:val="00572ED9"/>
    <w:rsid w:val="005732C4"/>
    <w:rsid w:val="005733A6"/>
    <w:rsid w:val="00573690"/>
    <w:rsid w:val="00573E29"/>
    <w:rsid w:val="005753F2"/>
    <w:rsid w:val="00575DC1"/>
    <w:rsid w:val="005768F2"/>
    <w:rsid w:val="00576BCE"/>
    <w:rsid w:val="00577099"/>
    <w:rsid w:val="005772EA"/>
    <w:rsid w:val="00580504"/>
    <w:rsid w:val="00580573"/>
    <w:rsid w:val="00581993"/>
    <w:rsid w:val="005828EE"/>
    <w:rsid w:val="00582E0D"/>
    <w:rsid w:val="0058404E"/>
    <w:rsid w:val="005845CA"/>
    <w:rsid w:val="00585265"/>
    <w:rsid w:val="00585D31"/>
    <w:rsid w:val="005866DC"/>
    <w:rsid w:val="00586F6A"/>
    <w:rsid w:val="00587A4F"/>
    <w:rsid w:val="0059053F"/>
    <w:rsid w:val="0059057B"/>
    <w:rsid w:val="00590776"/>
    <w:rsid w:val="00590AFE"/>
    <w:rsid w:val="00590FCE"/>
    <w:rsid w:val="00591127"/>
    <w:rsid w:val="005915EF"/>
    <w:rsid w:val="00591673"/>
    <w:rsid w:val="005920E6"/>
    <w:rsid w:val="00592D07"/>
    <w:rsid w:val="005930C2"/>
    <w:rsid w:val="005936FB"/>
    <w:rsid w:val="00593964"/>
    <w:rsid w:val="00594114"/>
    <w:rsid w:val="005945FF"/>
    <w:rsid w:val="00594FF9"/>
    <w:rsid w:val="00596482"/>
    <w:rsid w:val="00596F76"/>
    <w:rsid w:val="00597677"/>
    <w:rsid w:val="00597833"/>
    <w:rsid w:val="005A1FC9"/>
    <w:rsid w:val="005A23FB"/>
    <w:rsid w:val="005A3425"/>
    <w:rsid w:val="005A4315"/>
    <w:rsid w:val="005A59BB"/>
    <w:rsid w:val="005A663E"/>
    <w:rsid w:val="005A6B96"/>
    <w:rsid w:val="005A7074"/>
    <w:rsid w:val="005A7F92"/>
    <w:rsid w:val="005B0327"/>
    <w:rsid w:val="005B085E"/>
    <w:rsid w:val="005B177E"/>
    <w:rsid w:val="005B1970"/>
    <w:rsid w:val="005B1A73"/>
    <w:rsid w:val="005B20D9"/>
    <w:rsid w:val="005B24A9"/>
    <w:rsid w:val="005B4A21"/>
    <w:rsid w:val="005B5DF4"/>
    <w:rsid w:val="005B607D"/>
    <w:rsid w:val="005B60C4"/>
    <w:rsid w:val="005B615E"/>
    <w:rsid w:val="005B7039"/>
    <w:rsid w:val="005B7E31"/>
    <w:rsid w:val="005B7E80"/>
    <w:rsid w:val="005B7F25"/>
    <w:rsid w:val="005C09D7"/>
    <w:rsid w:val="005C1C89"/>
    <w:rsid w:val="005C1FA2"/>
    <w:rsid w:val="005C1FB1"/>
    <w:rsid w:val="005C24CC"/>
    <w:rsid w:val="005C2B13"/>
    <w:rsid w:val="005C2F2C"/>
    <w:rsid w:val="005C2F8E"/>
    <w:rsid w:val="005C393D"/>
    <w:rsid w:val="005C4C2C"/>
    <w:rsid w:val="005C509C"/>
    <w:rsid w:val="005C5882"/>
    <w:rsid w:val="005C6907"/>
    <w:rsid w:val="005C6AAC"/>
    <w:rsid w:val="005C6D77"/>
    <w:rsid w:val="005C6F09"/>
    <w:rsid w:val="005C7C70"/>
    <w:rsid w:val="005D0095"/>
    <w:rsid w:val="005D02CC"/>
    <w:rsid w:val="005D0567"/>
    <w:rsid w:val="005D0B31"/>
    <w:rsid w:val="005D2302"/>
    <w:rsid w:val="005D348B"/>
    <w:rsid w:val="005D44B8"/>
    <w:rsid w:val="005D4641"/>
    <w:rsid w:val="005D46EB"/>
    <w:rsid w:val="005D47A0"/>
    <w:rsid w:val="005D4BBF"/>
    <w:rsid w:val="005D59FE"/>
    <w:rsid w:val="005D7839"/>
    <w:rsid w:val="005E057A"/>
    <w:rsid w:val="005E1321"/>
    <w:rsid w:val="005E1D81"/>
    <w:rsid w:val="005E32D2"/>
    <w:rsid w:val="005E44E9"/>
    <w:rsid w:val="005E5992"/>
    <w:rsid w:val="005E662B"/>
    <w:rsid w:val="005E7038"/>
    <w:rsid w:val="005F0FC9"/>
    <w:rsid w:val="005F118C"/>
    <w:rsid w:val="005F1E31"/>
    <w:rsid w:val="005F32D6"/>
    <w:rsid w:val="005F39AE"/>
    <w:rsid w:val="005F3D31"/>
    <w:rsid w:val="005F4349"/>
    <w:rsid w:val="005F4929"/>
    <w:rsid w:val="005F56B1"/>
    <w:rsid w:val="005F56E6"/>
    <w:rsid w:val="005F670D"/>
    <w:rsid w:val="005F6877"/>
    <w:rsid w:val="005F7079"/>
    <w:rsid w:val="005F7669"/>
    <w:rsid w:val="00600D02"/>
    <w:rsid w:val="00600E7F"/>
    <w:rsid w:val="00600EC0"/>
    <w:rsid w:val="00601547"/>
    <w:rsid w:val="00601E26"/>
    <w:rsid w:val="00602DDF"/>
    <w:rsid w:val="00603200"/>
    <w:rsid w:val="00603391"/>
    <w:rsid w:val="006039A6"/>
    <w:rsid w:val="00604501"/>
    <w:rsid w:val="0060464D"/>
    <w:rsid w:val="006053C5"/>
    <w:rsid w:val="00605BC7"/>
    <w:rsid w:val="0060644A"/>
    <w:rsid w:val="00606453"/>
    <w:rsid w:val="006068E8"/>
    <w:rsid w:val="00606D87"/>
    <w:rsid w:val="00607912"/>
    <w:rsid w:val="006102B0"/>
    <w:rsid w:val="00610595"/>
    <w:rsid w:val="006105FE"/>
    <w:rsid w:val="0061171E"/>
    <w:rsid w:val="006117C1"/>
    <w:rsid w:val="00611B7B"/>
    <w:rsid w:val="00612365"/>
    <w:rsid w:val="006124DD"/>
    <w:rsid w:val="00614054"/>
    <w:rsid w:val="00614D3C"/>
    <w:rsid w:val="006156C6"/>
    <w:rsid w:val="006156F0"/>
    <w:rsid w:val="00615CCA"/>
    <w:rsid w:val="00615D98"/>
    <w:rsid w:val="00617297"/>
    <w:rsid w:val="006174A2"/>
    <w:rsid w:val="006175E6"/>
    <w:rsid w:val="00617609"/>
    <w:rsid w:val="00617A1E"/>
    <w:rsid w:val="00617BFE"/>
    <w:rsid w:val="0062040E"/>
    <w:rsid w:val="00620A3D"/>
    <w:rsid w:val="006210CD"/>
    <w:rsid w:val="00621C45"/>
    <w:rsid w:val="0062223E"/>
    <w:rsid w:val="00622BCC"/>
    <w:rsid w:val="0062378B"/>
    <w:rsid w:val="00623B4F"/>
    <w:rsid w:val="00624A28"/>
    <w:rsid w:val="006257BC"/>
    <w:rsid w:val="00625E82"/>
    <w:rsid w:val="00625F74"/>
    <w:rsid w:val="00625FCD"/>
    <w:rsid w:val="0062600E"/>
    <w:rsid w:val="006274F8"/>
    <w:rsid w:val="00627A7F"/>
    <w:rsid w:val="00627D46"/>
    <w:rsid w:val="0063050F"/>
    <w:rsid w:val="006308EC"/>
    <w:rsid w:val="00630F79"/>
    <w:rsid w:val="006311D6"/>
    <w:rsid w:val="0063187C"/>
    <w:rsid w:val="00632539"/>
    <w:rsid w:val="00632D12"/>
    <w:rsid w:val="00632F98"/>
    <w:rsid w:val="0063320B"/>
    <w:rsid w:val="00633582"/>
    <w:rsid w:val="006339DD"/>
    <w:rsid w:val="00633AE1"/>
    <w:rsid w:val="006340BB"/>
    <w:rsid w:val="0063494E"/>
    <w:rsid w:val="00636E1F"/>
    <w:rsid w:val="006371B7"/>
    <w:rsid w:val="00640711"/>
    <w:rsid w:val="00642172"/>
    <w:rsid w:val="006428DA"/>
    <w:rsid w:val="00642DD5"/>
    <w:rsid w:val="006443A3"/>
    <w:rsid w:val="00644894"/>
    <w:rsid w:val="0064645E"/>
    <w:rsid w:val="00646A05"/>
    <w:rsid w:val="00646AB2"/>
    <w:rsid w:val="0064724F"/>
    <w:rsid w:val="00647555"/>
    <w:rsid w:val="00647A4F"/>
    <w:rsid w:val="00650C59"/>
    <w:rsid w:val="0065167A"/>
    <w:rsid w:val="0065220D"/>
    <w:rsid w:val="006525B2"/>
    <w:rsid w:val="006527B6"/>
    <w:rsid w:val="00652F3F"/>
    <w:rsid w:val="00653B0E"/>
    <w:rsid w:val="00653EEE"/>
    <w:rsid w:val="00654DEE"/>
    <w:rsid w:val="00654F3B"/>
    <w:rsid w:val="006552E8"/>
    <w:rsid w:val="006557F5"/>
    <w:rsid w:val="00655A79"/>
    <w:rsid w:val="00656ADE"/>
    <w:rsid w:val="006576C4"/>
    <w:rsid w:val="00657E84"/>
    <w:rsid w:val="00660914"/>
    <w:rsid w:val="0066192F"/>
    <w:rsid w:val="00661A87"/>
    <w:rsid w:val="00662042"/>
    <w:rsid w:val="00663A4E"/>
    <w:rsid w:val="00663AFF"/>
    <w:rsid w:val="0066463F"/>
    <w:rsid w:val="00664826"/>
    <w:rsid w:val="006649E9"/>
    <w:rsid w:val="00664CDE"/>
    <w:rsid w:val="00665075"/>
    <w:rsid w:val="006650F1"/>
    <w:rsid w:val="00665417"/>
    <w:rsid w:val="0066587A"/>
    <w:rsid w:val="00665CCC"/>
    <w:rsid w:val="00666348"/>
    <w:rsid w:val="0066708A"/>
    <w:rsid w:val="0066724C"/>
    <w:rsid w:val="00667F36"/>
    <w:rsid w:val="006707E5"/>
    <w:rsid w:val="00670912"/>
    <w:rsid w:val="00670F4F"/>
    <w:rsid w:val="00671469"/>
    <w:rsid w:val="00671674"/>
    <w:rsid w:val="006716C7"/>
    <w:rsid w:val="006717E2"/>
    <w:rsid w:val="0067198D"/>
    <w:rsid w:val="00671A11"/>
    <w:rsid w:val="00671B14"/>
    <w:rsid w:val="00672108"/>
    <w:rsid w:val="00672781"/>
    <w:rsid w:val="006730D9"/>
    <w:rsid w:val="006742F2"/>
    <w:rsid w:val="0067481A"/>
    <w:rsid w:val="00674B9B"/>
    <w:rsid w:val="00675CF8"/>
    <w:rsid w:val="00676986"/>
    <w:rsid w:val="006774AA"/>
    <w:rsid w:val="00680B4C"/>
    <w:rsid w:val="00681232"/>
    <w:rsid w:val="006813B1"/>
    <w:rsid w:val="006815DE"/>
    <w:rsid w:val="00681790"/>
    <w:rsid w:val="0068198E"/>
    <w:rsid w:val="00681FEE"/>
    <w:rsid w:val="006825FB"/>
    <w:rsid w:val="00683393"/>
    <w:rsid w:val="0068375C"/>
    <w:rsid w:val="006838A0"/>
    <w:rsid w:val="00686836"/>
    <w:rsid w:val="0068691D"/>
    <w:rsid w:val="00687173"/>
    <w:rsid w:val="006872C3"/>
    <w:rsid w:val="006900EE"/>
    <w:rsid w:val="0069018B"/>
    <w:rsid w:val="00690350"/>
    <w:rsid w:val="0069076F"/>
    <w:rsid w:val="00690B86"/>
    <w:rsid w:val="00691B8F"/>
    <w:rsid w:val="006933A2"/>
    <w:rsid w:val="00693E84"/>
    <w:rsid w:val="00693EBE"/>
    <w:rsid w:val="00694E44"/>
    <w:rsid w:val="00695E7C"/>
    <w:rsid w:val="00696173"/>
    <w:rsid w:val="00696FB4"/>
    <w:rsid w:val="0069749F"/>
    <w:rsid w:val="00697DE6"/>
    <w:rsid w:val="006A0028"/>
    <w:rsid w:val="006A02DA"/>
    <w:rsid w:val="006A0DA7"/>
    <w:rsid w:val="006A0EEF"/>
    <w:rsid w:val="006A1696"/>
    <w:rsid w:val="006A2572"/>
    <w:rsid w:val="006A32ED"/>
    <w:rsid w:val="006A3E4E"/>
    <w:rsid w:val="006A637E"/>
    <w:rsid w:val="006A6782"/>
    <w:rsid w:val="006A6884"/>
    <w:rsid w:val="006A6913"/>
    <w:rsid w:val="006A6A53"/>
    <w:rsid w:val="006A6ADC"/>
    <w:rsid w:val="006A6B92"/>
    <w:rsid w:val="006A7191"/>
    <w:rsid w:val="006A7425"/>
    <w:rsid w:val="006A7CD8"/>
    <w:rsid w:val="006B014B"/>
    <w:rsid w:val="006B068C"/>
    <w:rsid w:val="006B0BE5"/>
    <w:rsid w:val="006B0DED"/>
    <w:rsid w:val="006B1180"/>
    <w:rsid w:val="006B12D6"/>
    <w:rsid w:val="006B1A2A"/>
    <w:rsid w:val="006B24FF"/>
    <w:rsid w:val="006B287E"/>
    <w:rsid w:val="006B2B05"/>
    <w:rsid w:val="006B4091"/>
    <w:rsid w:val="006B49B4"/>
    <w:rsid w:val="006B55CF"/>
    <w:rsid w:val="006B6575"/>
    <w:rsid w:val="006B6D64"/>
    <w:rsid w:val="006B72A8"/>
    <w:rsid w:val="006B7F74"/>
    <w:rsid w:val="006C00E1"/>
    <w:rsid w:val="006C06CD"/>
    <w:rsid w:val="006C09BB"/>
    <w:rsid w:val="006C11B8"/>
    <w:rsid w:val="006C16F0"/>
    <w:rsid w:val="006C286B"/>
    <w:rsid w:val="006C2C48"/>
    <w:rsid w:val="006C3245"/>
    <w:rsid w:val="006C38FC"/>
    <w:rsid w:val="006C3C4C"/>
    <w:rsid w:val="006C433C"/>
    <w:rsid w:val="006C57A6"/>
    <w:rsid w:val="006C5897"/>
    <w:rsid w:val="006C5A89"/>
    <w:rsid w:val="006C655A"/>
    <w:rsid w:val="006C6F26"/>
    <w:rsid w:val="006D131E"/>
    <w:rsid w:val="006D15C2"/>
    <w:rsid w:val="006D1F22"/>
    <w:rsid w:val="006D1FF5"/>
    <w:rsid w:val="006D237B"/>
    <w:rsid w:val="006D273E"/>
    <w:rsid w:val="006D2AC2"/>
    <w:rsid w:val="006D2FDF"/>
    <w:rsid w:val="006D30C8"/>
    <w:rsid w:val="006D3976"/>
    <w:rsid w:val="006D609D"/>
    <w:rsid w:val="006D69AA"/>
    <w:rsid w:val="006E0AEA"/>
    <w:rsid w:val="006E175F"/>
    <w:rsid w:val="006E297A"/>
    <w:rsid w:val="006E3164"/>
    <w:rsid w:val="006E3AD2"/>
    <w:rsid w:val="006E3B5B"/>
    <w:rsid w:val="006E424E"/>
    <w:rsid w:val="006E4BDD"/>
    <w:rsid w:val="006E56A7"/>
    <w:rsid w:val="006E5A55"/>
    <w:rsid w:val="006E5BA0"/>
    <w:rsid w:val="006E5EAD"/>
    <w:rsid w:val="006E68EC"/>
    <w:rsid w:val="006E74FA"/>
    <w:rsid w:val="006E78E3"/>
    <w:rsid w:val="006F0B29"/>
    <w:rsid w:val="006F0ECC"/>
    <w:rsid w:val="006F1747"/>
    <w:rsid w:val="006F203F"/>
    <w:rsid w:val="006F2456"/>
    <w:rsid w:val="006F278A"/>
    <w:rsid w:val="006F279F"/>
    <w:rsid w:val="006F35F5"/>
    <w:rsid w:val="006F3FB8"/>
    <w:rsid w:val="006F4F56"/>
    <w:rsid w:val="006F508D"/>
    <w:rsid w:val="006F5A9E"/>
    <w:rsid w:val="006F5BCE"/>
    <w:rsid w:val="006F5F62"/>
    <w:rsid w:val="006F629B"/>
    <w:rsid w:val="006F656D"/>
    <w:rsid w:val="006F69A1"/>
    <w:rsid w:val="006F7457"/>
    <w:rsid w:val="007007A0"/>
    <w:rsid w:val="00701F53"/>
    <w:rsid w:val="007022C1"/>
    <w:rsid w:val="00702D00"/>
    <w:rsid w:val="00703274"/>
    <w:rsid w:val="00703DCA"/>
    <w:rsid w:val="0070412E"/>
    <w:rsid w:val="00705522"/>
    <w:rsid w:val="00705D3C"/>
    <w:rsid w:val="00705E99"/>
    <w:rsid w:val="00706477"/>
    <w:rsid w:val="00706F84"/>
    <w:rsid w:val="00707A9D"/>
    <w:rsid w:val="007102BF"/>
    <w:rsid w:val="00710642"/>
    <w:rsid w:val="00710D5F"/>
    <w:rsid w:val="00710F6F"/>
    <w:rsid w:val="00711828"/>
    <w:rsid w:val="00711B3F"/>
    <w:rsid w:val="00712038"/>
    <w:rsid w:val="0071256C"/>
    <w:rsid w:val="007125A9"/>
    <w:rsid w:val="0071294F"/>
    <w:rsid w:val="00712BBD"/>
    <w:rsid w:val="00712E38"/>
    <w:rsid w:val="00713D6A"/>
    <w:rsid w:val="00715229"/>
    <w:rsid w:val="00715971"/>
    <w:rsid w:val="007161CB"/>
    <w:rsid w:val="00716C8F"/>
    <w:rsid w:val="00716CEA"/>
    <w:rsid w:val="00716FA1"/>
    <w:rsid w:val="007207FA"/>
    <w:rsid w:val="00720C30"/>
    <w:rsid w:val="007214E1"/>
    <w:rsid w:val="007214F9"/>
    <w:rsid w:val="0072190B"/>
    <w:rsid w:val="00722CB7"/>
    <w:rsid w:val="007230F3"/>
    <w:rsid w:val="00723118"/>
    <w:rsid w:val="00723558"/>
    <w:rsid w:val="007238AC"/>
    <w:rsid w:val="00723F47"/>
    <w:rsid w:val="00725555"/>
    <w:rsid w:val="00725923"/>
    <w:rsid w:val="007264DF"/>
    <w:rsid w:val="0072756A"/>
    <w:rsid w:val="007311AE"/>
    <w:rsid w:val="00731307"/>
    <w:rsid w:val="007319F6"/>
    <w:rsid w:val="0073226F"/>
    <w:rsid w:val="00732D16"/>
    <w:rsid w:val="00732F2E"/>
    <w:rsid w:val="00733636"/>
    <w:rsid w:val="00733FF7"/>
    <w:rsid w:val="007343AA"/>
    <w:rsid w:val="00735660"/>
    <w:rsid w:val="00735CEF"/>
    <w:rsid w:val="00735D65"/>
    <w:rsid w:val="007365CD"/>
    <w:rsid w:val="00736770"/>
    <w:rsid w:val="00736D0B"/>
    <w:rsid w:val="007373AE"/>
    <w:rsid w:val="007379B4"/>
    <w:rsid w:val="0074016A"/>
    <w:rsid w:val="007411FC"/>
    <w:rsid w:val="0074120C"/>
    <w:rsid w:val="0074135F"/>
    <w:rsid w:val="007413F4"/>
    <w:rsid w:val="007414E9"/>
    <w:rsid w:val="00742435"/>
    <w:rsid w:val="00742560"/>
    <w:rsid w:val="00742F15"/>
    <w:rsid w:val="0074319F"/>
    <w:rsid w:val="007436F0"/>
    <w:rsid w:val="007439BF"/>
    <w:rsid w:val="00743A34"/>
    <w:rsid w:val="00743E27"/>
    <w:rsid w:val="00744B4E"/>
    <w:rsid w:val="00744CBE"/>
    <w:rsid w:val="0074510F"/>
    <w:rsid w:val="0075097D"/>
    <w:rsid w:val="007512C9"/>
    <w:rsid w:val="00751398"/>
    <w:rsid w:val="00751547"/>
    <w:rsid w:val="00751E61"/>
    <w:rsid w:val="007520BE"/>
    <w:rsid w:val="007522D6"/>
    <w:rsid w:val="00752E22"/>
    <w:rsid w:val="00752E67"/>
    <w:rsid w:val="007534AF"/>
    <w:rsid w:val="00753729"/>
    <w:rsid w:val="00753CB7"/>
    <w:rsid w:val="00753EF9"/>
    <w:rsid w:val="0075584E"/>
    <w:rsid w:val="00755900"/>
    <w:rsid w:val="00756422"/>
    <w:rsid w:val="007566CB"/>
    <w:rsid w:val="0075691F"/>
    <w:rsid w:val="00756EA3"/>
    <w:rsid w:val="0075718D"/>
    <w:rsid w:val="0075724C"/>
    <w:rsid w:val="0075748C"/>
    <w:rsid w:val="007579FC"/>
    <w:rsid w:val="00757D27"/>
    <w:rsid w:val="00757E75"/>
    <w:rsid w:val="0076064A"/>
    <w:rsid w:val="00760F9D"/>
    <w:rsid w:val="007612CF"/>
    <w:rsid w:val="00761366"/>
    <w:rsid w:val="00761D72"/>
    <w:rsid w:val="00762107"/>
    <w:rsid w:val="00763161"/>
    <w:rsid w:val="00763D7B"/>
    <w:rsid w:val="00764625"/>
    <w:rsid w:val="007647E8"/>
    <w:rsid w:val="00764C87"/>
    <w:rsid w:val="00764E01"/>
    <w:rsid w:val="00766A20"/>
    <w:rsid w:val="00766C32"/>
    <w:rsid w:val="00766ED9"/>
    <w:rsid w:val="00767038"/>
    <w:rsid w:val="007674DC"/>
    <w:rsid w:val="007675C9"/>
    <w:rsid w:val="00767CD7"/>
    <w:rsid w:val="00770077"/>
    <w:rsid w:val="00770676"/>
    <w:rsid w:val="007712F7"/>
    <w:rsid w:val="0077183A"/>
    <w:rsid w:val="007728CB"/>
    <w:rsid w:val="00773A23"/>
    <w:rsid w:val="00773CB0"/>
    <w:rsid w:val="0077444A"/>
    <w:rsid w:val="00774CB4"/>
    <w:rsid w:val="00774DDA"/>
    <w:rsid w:val="007760AA"/>
    <w:rsid w:val="00776388"/>
    <w:rsid w:val="0077697B"/>
    <w:rsid w:val="00776A66"/>
    <w:rsid w:val="00777733"/>
    <w:rsid w:val="007779AD"/>
    <w:rsid w:val="00781338"/>
    <w:rsid w:val="007816DF"/>
    <w:rsid w:val="00781C11"/>
    <w:rsid w:val="00782519"/>
    <w:rsid w:val="00782919"/>
    <w:rsid w:val="00782A0D"/>
    <w:rsid w:val="00783679"/>
    <w:rsid w:val="007838AB"/>
    <w:rsid w:val="00784800"/>
    <w:rsid w:val="007853D2"/>
    <w:rsid w:val="0078548C"/>
    <w:rsid w:val="00785981"/>
    <w:rsid w:val="00785DD3"/>
    <w:rsid w:val="00785E16"/>
    <w:rsid w:val="00786455"/>
    <w:rsid w:val="00786AEB"/>
    <w:rsid w:val="0078721E"/>
    <w:rsid w:val="00787523"/>
    <w:rsid w:val="00787F57"/>
    <w:rsid w:val="00790273"/>
    <w:rsid w:val="007906C8"/>
    <w:rsid w:val="007906C9"/>
    <w:rsid w:val="00790D9C"/>
    <w:rsid w:val="00790E95"/>
    <w:rsid w:val="00790FBE"/>
    <w:rsid w:val="007915EE"/>
    <w:rsid w:val="007916F2"/>
    <w:rsid w:val="007922BE"/>
    <w:rsid w:val="007922F2"/>
    <w:rsid w:val="00792533"/>
    <w:rsid w:val="00792C82"/>
    <w:rsid w:val="00793D26"/>
    <w:rsid w:val="00793D61"/>
    <w:rsid w:val="00794475"/>
    <w:rsid w:val="007949A7"/>
    <w:rsid w:val="00794B11"/>
    <w:rsid w:val="007959C0"/>
    <w:rsid w:val="0079781D"/>
    <w:rsid w:val="00797A93"/>
    <w:rsid w:val="00797BCA"/>
    <w:rsid w:val="007A105B"/>
    <w:rsid w:val="007A1E6A"/>
    <w:rsid w:val="007A1EFF"/>
    <w:rsid w:val="007A2DC6"/>
    <w:rsid w:val="007A4D3D"/>
    <w:rsid w:val="007A4F69"/>
    <w:rsid w:val="007A5506"/>
    <w:rsid w:val="007A5A3E"/>
    <w:rsid w:val="007A5F3D"/>
    <w:rsid w:val="007A69D5"/>
    <w:rsid w:val="007A73AF"/>
    <w:rsid w:val="007A78A5"/>
    <w:rsid w:val="007B04AD"/>
    <w:rsid w:val="007B0907"/>
    <w:rsid w:val="007B0A5B"/>
    <w:rsid w:val="007B0F80"/>
    <w:rsid w:val="007B13E8"/>
    <w:rsid w:val="007B1E68"/>
    <w:rsid w:val="007B1FB0"/>
    <w:rsid w:val="007B23C9"/>
    <w:rsid w:val="007B2DA0"/>
    <w:rsid w:val="007B32CC"/>
    <w:rsid w:val="007B4A05"/>
    <w:rsid w:val="007B4AAC"/>
    <w:rsid w:val="007B5031"/>
    <w:rsid w:val="007B610E"/>
    <w:rsid w:val="007B6702"/>
    <w:rsid w:val="007B7751"/>
    <w:rsid w:val="007B7851"/>
    <w:rsid w:val="007B7914"/>
    <w:rsid w:val="007B7C3D"/>
    <w:rsid w:val="007C077D"/>
    <w:rsid w:val="007C1B33"/>
    <w:rsid w:val="007C1BB7"/>
    <w:rsid w:val="007C1F56"/>
    <w:rsid w:val="007C2484"/>
    <w:rsid w:val="007C3316"/>
    <w:rsid w:val="007C36D5"/>
    <w:rsid w:val="007C3A09"/>
    <w:rsid w:val="007C3B9F"/>
    <w:rsid w:val="007C4160"/>
    <w:rsid w:val="007C43B5"/>
    <w:rsid w:val="007C56E3"/>
    <w:rsid w:val="007C5864"/>
    <w:rsid w:val="007C5D15"/>
    <w:rsid w:val="007C63E9"/>
    <w:rsid w:val="007C66E7"/>
    <w:rsid w:val="007C74F1"/>
    <w:rsid w:val="007D003C"/>
    <w:rsid w:val="007D1041"/>
    <w:rsid w:val="007D1906"/>
    <w:rsid w:val="007D2AE3"/>
    <w:rsid w:val="007D33B5"/>
    <w:rsid w:val="007D33F0"/>
    <w:rsid w:val="007D3FF7"/>
    <w:rsid w:val="007D442D"/>
    <w:rsid w:val="007D5879"/>
    <w:rsid w:val="007D5B12"/>
    <w:rsid w:val="007D5D4C"/>
    <w:rsid w:val="007D7157"/>
    <w:rsid w:val="007D73F7"/>
    <w:rsid w:val="007D749C"/>
    <w:rsid w:val="007D74C3"/>
    <w:rsid w:val="007E0C4E"/>
    <w:rsid w:val="007E29DF"/>
    <w:rsid w:val="007E2C51"/>
    <w:rsid w:val="007E2C81"/>
    <w:rsid w:val="007E2FFC"/>
    <w:rsid w:val="007E31FB"/>
    <w:rsid w:val="007E37E9"/>
    <w:rsid w:val="007E38DA"/>
    <w:rsid w:val="007E3E9A"/>
    <w:rsid w:val="007E4969"/>
    <w:rsid w:val="007E4B5E"/>
    <w:rsid w:val="007E51ED"/>
    <w:rsid w:val="007E53E5"/>
    <w:rsid w:val="007E64DC"/>
    <w:rsid w:val="007E6BAF"/>
    <w:rsid w:val="007E6BB9"/>
    <w:rsid w:val="007E7100"/>
    <w:rsid w:val="007F0241"/>
    <w:rsid w:val="007F08D5"/>
    <w:rsid w:val="007F1292"/>
    <w:rsid w:val="007F146F"/>
    <w:rsid w:val="007F19C7"/>
    <w:rsid w:val="007F1D70"/>
    <w:rsid w:val="007F2707"/>
    <w:rsid w:val="007F2A27"/>
    <w:rsid w:val="007F307D"/>
    <w:rsid w:val="007F3D97"/>
    <w:rsid w:val="007F3FC8"/>
    <w:rsid w:val="007F6146"/>
    <w:rsid w:val="007F78D0"/>
    <w:rsid w:val="007F7F42"/>
    <w:rsid w:val="00800F9F"/>
    <w:rsid w:val="00801014"/>
    <w:rsid w:val="00801392"/>
    <w:rsid w:val="008013F1"/>
    <w:rsid w:val="008065CE"/>
    <w:rsid w:val="008065F4"/>
    <w:rsid w:val="0081005E"/>
    <w:rsid w:val="008109E3"/>
    <w:rsid w:val="00811CB7"/>
    <w:rsid w:val="00811D36"/>
    <w:rsid w:val="00812889"/>
    <w:rsid w:val="00813802"/>
    <w:rsid w:val="00813A7F"/>
    <w:rsid w:val="00813C8C"/>
    <w:rsid w:val="0081444A"/>
    <w:rsid w:val="00814784"/>
    <w:rsid w:val="00814DDB"/>
    <w:rsid w:val="00815A84"/>
    <w:rsid w:val="00815CE5"/>
    <w:rsid w:val="00816214"/>
    <w:rsid w:val="00816AF6"/>
    <w:rsid w:val="0081712F"/>
    <w:rsid w:val="00817469"/>
    <w:rsid w:val="008201B0"/>
    <w:rsid w:val="008204C0"/>
    <w:rsid w:val="00820D6D"/>
    <w:rsid w:val="008210ED"/>
    <w:rsid w:val="00821978"/>
    <w:rsid w:val="00821A70"/>
    <w:rsid w:val="00821EB1"/>
    <w:rsid w:val="0082293C"/>
    <w:rsid w:val="0082363D"/>
    <w:rsid w:val="00824E89"/>
    <w:rsid w:val="00824FA0"/>
    <w:rsid w:val="0082543B"/>
    <w:rsid w:val="008263F6"/>
    <w:rsid w:val="008268ED"/>
    <w:rsid w:val="00827753"/>
    <w:rsid w:val="00830429"/>
    <w:rsid w:val="00830469"/>
    <w:rsid w:val="008305B8"/>
    <w:rsid w:val="0083118B"/>
    <w:rsid w:val="00831198"/>
    <w:rsid w:val="0083135C"/>
    <w:rsid w:val="00831899"/>
    <w:rsid w:val="00831C75"/>
    <w:rsid w:val="00831E01"/>
    <w:rsid w:val="00832797"/>
    <w:rsid w:val="0083279D"/>
    <w:rsid w:val="00832953"/>
    <w:rsid w:val="00834D7A"/>
    <w:rsid w:val="008356C4"/>
    <w:rsid w:val="0083610B"/>
    <w:rsid w:val="008368BA"/>
    <w:rsid w:val="00840069"/>
    <w:rsid w:val="00840400"/>
    <w:rsid w:val="00840D5B"/>
    <w:rsid w:val="00840E7E"/>
    <w:rsid w:val="0084202F"/>
    <w:rsid w:val="008422C9"/>
    <w:rsid w:val="00843685"/>
    <w:rsid w:val="00844EAA"/>
    <w:rsid w:val="00845169"/>
    <w:rsid w:val="00845255"/>
    <w:rsid w:val="00845EDE"/>
    <w:rsid w:val="00845F11"/>
    <w:rsid w:val="00845F2E"/>
    <w:rsid w:val="0084619A"/>
    <w:rsid w:val="008472D5"/>
    <w:rsid w:val="00851361"/>
    <w:rsid w:val="00851D13"/>
    <w:rsid w:val="0085238F"/>
    <w:rsid w:val="00853CFE"/>
    <w:rsid w:val="00854385"/>
    <w:rsid w:val="00854585"/>
    <w:rsid w:val="008548F8"/>
    <w:rsid w:val="00855279"/>
    <w:rsid w:val="008559EA"/>
    <w:rsid w:val="0085759D"/>
    <w:rsid w:val="00857C55"/>
    <w:rsid w:val="00857DD6"/>
    <w:rsid w:val="00860001"/>
    <w:rsid w:val="008620A4"/>
    <w:rsid w:val="0086226C"/>
    <w:rsid w:val="008622BA"/>
    <w:rsid w:val="0086259A"/>
    <w:rsid w:val="008632A9"/>
    <w:rsid w:val="00863A40"/>
    <w:rsid w:val="00863E8A"/>
    <w:rsid w:val="00864BE7"/>
    <w:rsid w:val="00864F2A"/>
    <w:rsid w:val="0086529B"/>
    <w:rsid w:val="00865DA7"/>
    <w:rsid w:val="00865E1C"/>
    <w:rsid w:val="008664FB"/>
    <w:rsid w:val="008667AE"/>
    <w:rsid w:val="00866EC5"/>
    <w:rsid w:val="008706F6"/>
    <w:rsid w:val="00872F4D"/>
    <w:rsid w:val="0087364A"/>
    <w:rsid w:val="00874F6A"/>
    <w:rsid w:val="008753AC"/>
    <w:rsid w:val="00875522"/>
    <w:rsid w:val="00875580"/>
    <w:rsid w:val="00875E6B"/>
    <w:rsid w:val="00875F1B"/>
    <w:rsid w:val="00876ABE"/>
    <w:rsid w:val="00876C3A"/>
    <w:rsid w:val="00876E64"/>
    <w:rsid w:val="00877113"/>
    <w:rsid w:val="00877D91"/>
    <w:rsid w:val="00877E56"/>
    <w:rsid w:val="00880C59"/>
    <w:rsid w:val="0088107C"/>
    <w:rsid w:val="00882289"/>
    <w:rsid w:val="008841A8"/>
    <w:rsid w:val="00884916"/>
    <w:rsid w:val="00884B03"/>
    <w:rsid w:val="00886DB0"/>
    <w:rsid w:val="00886E7E"/>
    <w:rsid w:val="00886EEC"/>
    <w:rsid w:val="00887834"/>
    <w:rsid w:val="008879EA"/>
    <w:rsid w:val="00887D43"/>
    <w:rsid w:val="008902C2"/>
    <w:rsid w:val="00890DC0"/>
    <w:rsid w:val="0089146F"/>
    <w:rsid w:val="008916DA"/>
    <w:rsid w:val="00891BC0"/>
    <w:rsid w:val="0089282F"/>
    <w:rsid w:val="00892A3B"/>
    <w:rsid w:val="00893361"/>
    <w:rsid w:val="00894DBA"/>
    <w:rsid w:val="00894EFB"/>
    <w:rsid w:val="0089589A"/>
    <w:rsid w:val="0089677E"/>
    <w:rsid w:val="00896996"/>
    <w:rsid w:val="00896D94"/>
    <w:rsid w:val="00896EE8"/>
    <w:rsid w:val="0089710F"/>
    <w:rsid w:val="008976FF"/>
    <w:rsid w:val="00897E04"/>
    <w:rsid w:val="008A0399"/>
    <w:rsid w:val="008A0632"/>
    <w:rsid w:val="008A0C7B"/>
    <w:rsid w:val="008A0CEE"/>
    <w:rsid w:val="008A11F2"/>
    <w:rsid w:val="008A1ACD"/>
    <w:rsid w:val="008A2514"/>
    <w:rsid w:val="008A31D4"/>
    <w:rsid w:val="008A4788"/>
    <w:rsid w:val="008A4841"/>
    <w:rsid w:val="008A5313"/>
    <w:rsid w:val="008A5B2B"/>
    <w:rsid w:val="008A5E64"/>
    <w:rsid w:val="008A61B7"/>
    <w:rsid w:val="008A78E9"/>
    <w:rsid w:val="008B04DD"/>
    <w:rsid w:val="008B1125"/>
    <w:rsid w:val="008B1308"/>
    <w:rsid w:val="008B2345"/>
    <w:rsid w:val="008B237F"/>
    <w:rsid w:val="008B2A65"/>
    <w:rsid w:val="008B3A07"/>
    <w:rsid w:val="008B4063"/>
    <w:rsid w:val="008B443E"/>
    <w:rsid w:val="008B4E1F"/>
    <w:rsid w:val="008B545D"/>
    <w:rsid w:val="008B630C"/>
    <w:rsid w:val="008B6515"/>
    <w:rsid w:val="008B652C"/>
    <w:rsid w:val="008B6EF9"/>
    <w:rsid w:val="008B7351"/>
    <w:rsid w:val="008B75BD"/>
    <w:rsid w:val="008C2A24"/>
    <w:rsid w:val="008C3C0F"/>
    <w:rsid w:val="008C4E35"/>
    <w:rsid w:val="008C549F"/>
    <w:rsid w:val="008C59CB"/>
    <w:rsid w:val="008C5CF3"/>
    <w:rsid w:val="008C63DD"/>
    <w:rsid w:val="008C65A7"/>
    <w:rsid w:val="008C6872"/>
    <w:rsid w:val="008C6901"/>
    <w:rsid w:val="008C697B"/>
    <w:rsid w:val="008C6DB0"/>
    <w:rsid w:val="008C7804"/>
    <w:rsid w:val="008C7A75"/>
    <w:rsid w:val="008C7B7E"/>
    <w:rsid w:val="008C7CF0"/>
    <w:rsid w:val="008D0010"/>
    <w:rsid w:val="008D02BF"/>
    <w:rsid w:val="008D20CE"/>
    <w:rsid w:val="008D33DD"/>
    <w:rsid w:val="008D3B7E"/>
    <w:rsid w:val="008D3E16"/>
    <w:rsid w:val="008D41A6"/>
    <w:rsid w:val="008D4D8D"/>
    <w:rsid w:val="008D5008"/>
    <w:rsid w:val="008D5254"/>
    <w:rsid w:val="008D6CA7"/>
    <w:rsid w:val="008D749A"/>
    <w:rsid w:val="008D7C9C"/>
    <w:rsid w:val="008E05AD"/>
    <w:rsid w:val="008E0FD2"/>
    <w:rsid w:val="008E1877"/>
    <w:rsid w:val="008E2DDE"/>
    <w:rsid w:val="008E36F1"/>
    <w:rsid w:val="008E4D8A"/>
    <w:rsid w:val="008E63F9"/>
    <w:rsid w:val="008E6EEF"/>
    <w:rsid w:val="008E73B2"/>
    <w:rsid w:val="008E7B3D"/>
    <w:rsid w:val="008F0026"/>
    <w:rsid w:val="008F0548"/>
    <w:rsid w:val="008F0A7D"/>
    <w:rsid w:val="008F0AC5"/>
    <w:rsid w:val="008F0E30"/>
    <w:rsid w:val="008F21B8"/>
    <w:rsid w:val="008F274B"/>
    <w:rsid w:val="008F2C6B"/>
    <w:rsid w:val="008F3BE3"/>
    <w:rsid w:val="008F4261"/>
    <w:rsid w:val="008F4319"/>
    <w:rsid w:val="008F4E04"/>
    <w:rsid w:val="008F5FE1"/>
    <w:rsid w:val="008F60FA"/>
    <w:rsid w:val="008F7EE5"/>
    <w:rsid w:val="008F7FF0"/>
    <w:rsid w:val="00900B7F"/>
    <w:rsid w:val="009022AE"/>
    <w:rsid w:val="009024A2"/>
    <w:rsid w:val="00902C79"/>
    <w:rsid w:val="00902D58"/>
    <w:rsid w:val="0090377A"/>
    <w:rsid w:val="0090438F"/>
    <w:rsid w:val="009043CC"/>
    <w:rsid w:val="009045E1"/>
    <w:rsid w:val="0090473A"/>
    <w:rsid w:val="00905400"/>
    <w:rsid w:val="00906C7A"/>
    <w:rsid w:val="00907A62"/>
    <w:rsid w:val="00907C26"/>
    <w:rsid w:val="00907D39"/>
    <w:rsid w:val="0091003F"/>
    <w:rsid w:val="0091060F"/>
    <w:rsid w:val="00910F3F"/>
    <w:rsid w:val="00911B2D"/>
    <w:rsid w:val="009120A1"/>
    <w:rsid w:val="00912951"/>
    <w:rsid w:val="00912BF8"/>
    <w:rsid w:val="00913284"/>
    <w:rsid w:val="009137C6"/>
    <w:rsid w:val="00914506"/>
    <w:rsid w:val="009149CD"/>
    <w:rsid w:val="009151AF"/>
    <w:rsid w:val="00915786"/>
    <w:rsid w:val="00915F11"/>
    <w:rsid w:val="00916324"/>
    <w:rsid w:val="00916403"/>
    <w:rsid w:val="009164F0"/>
    <w:rsid w:val="0091654C"/>
    <w:rsid w:val="0091655F"/>
    <w:rsid w:val="009169CA"/>
    <w:rsid w:val="00916DB3"/>
    <w:rsid w:val="0091795A"/>
    <w:rsid w:val="00917CF1"/>
    <w:rsid w:val="00917E8D"/>
    <w:rsid w:val="00920094"/>
    <w:rsid w:val="00920132"/>
    <w:rsid w:val="009212F3"/>
    <w:rsid w:val="009215DA"/>
    <w:rsid w:val="00921F77"/>
    <w:rsid w:val="00922015"/>
    <w:rsid w:val="009225B8"/>
    <w:rsid w:val="00922BB0"/>
    <w:rsid w:val="00922C14"/>
    <w:rsid w:val="00923F6C"/>
    <w:rsid w:val="009240CB"/>
    <w:rsid w:val="0092455A"/>
    <w:rsid w:val="00924CB8"/>
    <w:rsid w:val="009253CF"/>
    <w:rsid w:val="00925D67"/>
    <w:rsid w:val="00925E3C"/>
    <w:rsid w:val="00925E94"/>
    <w:rsid w:val="009260CE"/>
    <w:rsid w:val="00926AD9"/>
    <w:rsid w:val="00927775"/>
    <w:rsid w:val="00930CFF"/>
    <w:rsid w:val="00931085"/>
    <w:rsid w:val="00931DC4"/>
    <w:rsid w:val="00932AB8"/>
    <w:rsid w:val="00934099"/>
    <w:rsid w:val="00934423"/>
    <w:rsid w:val="00934512"/>
    <w:rsid w:val="009351D4"/>
    <w:rsid w:val="00935C43"/>
    <w:rsid w:val="00935FBA"/>
    <w:rsid w:val="00936CD3"/>
    <w:rsid w:val="00937D29"/>
    <w:rsid w:val="009407BB"/>
    <w:rsid w:val="009411E8"/>
    <w:rsid w:val="00941A3B"/>
    <w:rsid w:val="00941B94"/>
    <w:rsid w:val="00941F26"/>
    <w:rsid w:val="009425B4"/>
    <w:rsid w:val="00942723"/>
    <w:rsid w:val="009429BA"/>
    <w:rsid w:val="00943398"/>
    <w:rsid w:val="00943448"/>
    <w:rsid w:val="009437FD"/>
    <w:rsid w:val="00943EDC"/>
    <w:rsid w:val="009447DC"/>
    <w:rsid w:val="00944813"/>
    <w:rsid w:val="00946955"/>
    <w:rsid w:val="00946C0E"/>
    <w:rsid w:val="00946FA2"/>
    <w:rsid w:val="009474C9"/>
    <w:rsid w:val="00947627"/>
    <w:rsid w:val="00947B30"/>
    <w:rsid w:val="0095027D"/>
    <w:rsid w:val="009507FE"/>
    <w:rsid w:val="00950A6D"/>
    <w:rsid w:val="00950CFF"/>
    <w:rsid w:val="0095268C"/>
    <w:rsid w:val="00954402"/>
    <w:rsid w:val="00954A54"/>
    <w:rsid w:val="00955266"/>
    <w:rsid w:val="009560B8"/>
    <w:rsid w:val="00956B0B"/>
    <w:rsid w:val="00956BBA"/>
    <w:rsid w:val="00956CFC"/>
    <w:rsid w:val="00956DA2"/>
    <w:rsid w:val="0095713B"/>
    <w:rsid w:val="0095763C"/>
    <w:rsid w:val="00957965"/>
    <w:rsid w:val="0096097E"/>
    <w:rsid w:val="00960C8A"/>
    <w:rsid w:val="00960CA7"/>
    <w:rsid w:val="00960F6F"/>
    <w:rsid w:val="00961E60"/>
    <w:rsid w:val="0096205F"/>
    <w:rsid w:val="009626A2"/>
    <w:rsid w:val="009627D4"/>
    <w:rsid w:val="009634D9"/>
    <w:rsid w:val="0096372A"/>
    <w:rsid w:val="00963793"/>
    <w:rsid w:val="009643A6"/>
    <w:rsid w:val="0096443D"/>
    <w:rsid w:val="009658FD"/>
    <w:rsid w:val="00965AD0"/>
    <w:rsid w:val="00965E8B"/>
    <w:rsid w:val="00965F87"/>
    <w:rsid w:val="009662D1"/>
    <w:rsid w:val="009664C5"/>
    <w:rsid w:val="00966555"/>
    <w:rsid w:val="00966674"/>
    <w:rsid w:val="00966F53"/>
    <w:rsid w:val="009673DF"/>
    <w:rsid w:val="00967AA7"/>
    <w:rsid w:val="00967C3A"/>
    <w:rsid w:val="00970DCF"/>
    <w:rsid w:val="009712C3"/>
    <w:rsid w:val="00972134"/>
    <w:rsid w:val="009727CF"/>
    <w:rsid w:val="00972A98"/>
    <w:rsid w:val="00972D85"/>
    <w:rsid w:val="009732AC"/>
    <w:rsid w:val="00973639"/>
    <w:rsid w:val="009738F0"/>
    <w:rsid w:val="00973933"/>
    <w:rsid w:val="009739F5"/>
    <w:rsid w:val="00974322"/>
    <w:rsid w:val="00974DEE"/>
    <w:rsid w:val="00975945"/>
    <w:rsid w:val="00975E7F"/>
    <w:rsid w:val="00976269"/>
    <w:rsid w:val="00976B74"/>
    <w:rsid w:val="0097736A"/>
    <w:rsid w:val="00977982"/>
    <w:rsid w:val="00977BAB"/>
    <w:rsid w:val="009816CE"/>
    <w:rsid w:val="009821BF"/>
    <w:rsid w:val="00982E18"/>
    <w:rsid w:val="009832D0"/>
    <w:rsid w:val="009834E9"/>
    <w:rsid w:val="00983707"/>
    <w:rsid w:val="00983E79"/>
    <w:rsid w:val="00984810"/>
    <w:rsid w:val="0098498A"/>
    <w:rsid w:val="00984A7C"/>
    <w:rsid w:val="0098595B"/>
    <w:rsid w:val="00985973"/>
    <w:rsid w:val="0098613C"/>
    <w:rsid w:val="00986487"/>
    <w:rsid w:val="00986844"/>
    <w:rsid w:val="00986D2E"/>
    <w:rsid w:val="009874C3"/>
    <w:rsid w:val="00987C43"/>
    <w:rsid w:val="00990110"/>
    <w:rsid w:val="0099134A"/>
    <w:rsid w:val="00991435"/>
    <w:rsid w:val="00991721"/>
    <w:rsid w:val="00991A3A"/>
    <w:rsid w:val="009920B3"/>
    <w:rsid w:val="00992258"/>
    <w:rsid w:val="009938F8"/>
    <w:rsid w:val="00993B6D"/>
    <w:rsid w:val="0099467A"/>
    <w:rsid w:val="00994A15"/>
    <w:rsid w:val="00994DF7"/>
    <w:rsid w:val="0099566B"/>
    <w:rsid w:val="009956F1"/>
    <w:rsid w:val="009960A8"/>
    <w:rsid w:val="009961A3"/>
    <w:rsid w:val="00996D1F"/>
    <w:rsid w:val="0099711D"/>
    <w:rsid w:val="00997475"/>
    <w:rsid w:val="009978C0"/>
    <w:rsid w:val="00997C89"/>
    <w:rsid w:val="00997F8D"/>
    <w:rsid w:val="009A06F9"/>
    <w:rsid w:val="009A09E1"/>
    <w:rsid w:val="009A16FF"/>
    <w:rsid w:val="009A1957"/>
    <w:rsid w:val="009A209B"/>
    <w:rsid w:val="009A216D"/>
    <w:rsid w:val="009A268B"/>
    <w:rsid w:val="009A2B81"/>
    <w:rsid w:val="009A302F"/>
    <w:rsid w:val="009A37F9"/>
    <w:rsid w:val="009A3B7E"/>
    <w:rsid w:val="009A3F50"/>
    <w:rsid w:val="009A4887"/>
    <w:rsid w:val="009A4AFA"/>
    <w:rsid w:val="009A5ED5"/>
    <w:rsid w:val="009A60E4"/>
    <w:rsid w:val="009A729F"/>
    <w:rsid w:val="009A7350"/>
    <w:rsid w:val="009A7D90"/>
    <w:rsid w:val="009B0D94"/>
    <w:rsid w:val="009B115F"/>
    <w:rsid w:val="009B180C"/>
    <w:rsid w:val="009B1BCA"/>
    <w:rsid w:val="009B2321"/>
    <w:rsid w:val="009B2BE4"/>
    <w:rsid w:val="009B5752"/>
    <w:rsid w:val="009B58AD"/>
    <w:rsid w:val="009B5BED"/>
    <w:rsid w:val="009B6904"/>
    <w:rsid w:val="009B72A9"/>
    <w:rsid w:val="009B751E"/>
    <w:rsid w:val="009C0907"/>
    <w:rsid w:val="009C1025"/>
    <w:rsid w:val="009C1A38"/>
    <w:rsid w:val="009C1A9C"/>
    <w:rsid w:val="009C286C"/>
    <w:rsid w:val="009C296A"/>
    <w:rsid w:val="009C2BAF"/>
    <w:rsid w:val="009C33DE"/>
    <w:rsid w:val="009C359F"/>
    <w:rsid w:val="009C3739"/>
    <w:rsid w:val="009C4986"/>
    <w:rsid w:val="009C570F"/>
    <w:rsid w:val="009C6B55"/>
    <w:rsid w:val="009C7657"/>
    <w:rsid w:val="009D0905"/>
    <w:rsid w:val="009D0E2C"/>
    <w:rsid w:val="009D1D97"/>
    <w:rsid w:val="009D1FC9"/>
    <w:rsid w:val="009D227E"/>
    <w:rsid w:val="009D3168"/>
    <w:rsid w:val="009D35DE"/>
    <w:rsid w:val="009D43C0"/>
    <w:rsid w:val="009D4570"/>
    <w:rsid w:val="009D4624"/>
    <w:rsid w:val="009D4763"/>
    <w:rsid w:val="009D5D9B"/>
    <w:rsid w:val="009D74CE"/>
    <w:rsid w:val="009D75ED"/>
    <w:rsid w:val="009D7BF9"/>
    <w:rsid w:val="009D7C9B"/>
    <w:rsid w:val="009E02CC"/>
    <w:rsid w:val="009E0325"/>
    <w:rsid w:val="009E0608"/>
    <w:rsid w:val="009E0EFE"/>
    <w:rsid w:val="009E0F44"/>
    <w:rsid w:val="009E1303"/>
    <w:rsid w:val="009E14D1"/>
    <w:rsid w:val="009E1F76"/>
    <w:rsid w:val="009E33D2"/>
    <w:rsid w:val="009E488F"/>
    <w:rsid w:val="009E579A"/>
    <w:rsid w:val="009E6FDD"/>
    <w:rsid w:val="009E75D1"/>
    <w:rsid w:val="009E7850"/>
    <w:rsid w:val="009F07A4"/>
    <w:rsid w:val="009F0CC0"/>
    <w:rsid w:val="009F0FAD"/>
    <w:rsid w:val="009F119C"/>
    <w:rsid w:val="009F1682"/>
    <w:rsid w:val="009F19B1"/>
    <w:rsid w:val="009F1CC9"/>
    <w:rsid w:val="009F1D3A"/>
    <w:rsid w:val="009F1E03"/>
    <w:rsid w:val="009F2D97"/>
    <w:rsid w:val="009F2DB0"/>
    <w:rsid w:val="009F3330"/>
    <w:rsid w:val="009F368B"/>
    <w:rsid w:val="009F5376"/>
    <w:rsid w:val="009F60B7"/>
    <w:rsid w:val="009F665D"/>
    <w:rsid w:val="009F67CE"/>
    <w:rsid w:val="009F6BF8"/>
    <w:rsid w:val="009F7288"/>
    <w:rsid w:val="009F7883"/>
    <w:rsid w:val="00A002C1"/>
    <w:rsid w:val="00A00A35"/>
    <w:rsid w:val="00A00D0F"/>
    <w:rsid w:val="00A00E56"/>
    <w:rsid w:val="00A00FD4"/>
    <w:rsid w:val="00A010CD"/>
    <w:rsid w:val="00A016DA"/>
    <w:rsid w:val="00A01874"/>
    <w:rsid w:val="00A01C53"/>
    <w:rsid w:val="00A0205C"/>
    <w:rsid w:val="00A026BA"/>
    <w:rsid w:val="00A02A3F"/>
    <w:rsid w:val="00A031D1"/>
    <w:rsid w:val="00A03827"/>
    <w:rsid w:val="00A03AD6"/>
    <w:rsid w:val="00A03BD9"/>
    <w:rsid w:val="00A04050"/>
    <w:rsid w:val="00A0497F"/>
    <w:rsid w:val="00A04A35"/>
    <w:rsid w:val="00A04C73"/>
    <w:rsid w:val="00A05D34"/>
    <w:rsid w:val="00A0622E"/>
    <w:rsid w:val="00A0680C"/>
    <w:rsid w:val="00A07647"/>
    <w:rsid w:val="00A07818"/>
    <w:rsid w:val="00A07E1F"/>
    <w:rsid w:val="00A107DA"/>
    <w:rsid w:val="00A1081B"/>
    <w:rsid w:val="00A10DF3"/>
    <w:rsid w:val="00A11651"/>
    <w:rsid w:val="00A11E92"/>
    <w:rsid w:val="00A1212E"/>
    <w:rsid w:val="00A12439"/>
    <w:rsid w:val="00A12B79"/>
    <w:rsid w:val="00A1326B"/>
    <w:rsid w:val="00A13725"/>
    <w:rsid w:val="00A146B2"/>
    <w:rsid w:val="00A15605"/>
    <w:rsid w:val="00A1634F"/>
    <w:rsid w:val="00A1650F"/>
    <w:rsid w:val="00A17138"/>
    <w:rsid w:val="00A2013A"/>
    <w:rsid w:val="00A2016D"/>
    <w:rsid w:val="00A20D75"/>
    <w:rsid w:val="00A20FF7"/>
    <w:rsid w:val="00A21102"/>
    <w:rsid w:val="00A211C5"/>
    <w:rsid w:val="00A21638"/>
    <w:rsid w:val="00A21855"/>
    <w:rsid w:val="00A222C9"/>
    <w:rsid w:val="00A22BCB"/>
    <w:rsid w:val="00A22E38"/>
    <w:rsid w:val="00A22F4A"/>
    <w:rsid w:val="00A23340"/>
    <w:rsid w:val="00A2336A"/>
    <w:rsid w:val="00A23B4B"/>
    <w:rsid w:val="00A23DF6"/>
    <w:rsid w:val="00A23ECB"/>
    <w:rsid w:val="00A24698"/>
    <w:rsid w:val="00A247D0"/>
    <w:rsid w:val="00A248C2"/>
    <w:rsid w:val="00A24D06"/>
    <w:rsid w:val="00A251D4"/>
    <w:rsid w:val="00A25559"/>
    <w:rsid w:val="00A266C2"/>
    <w:rsid w:val="00A26794"/>
    <w:rsid w:val="00A26801"/>
    <w:rsid w:val="00A27288"/>
    <w:rsid w:val="00A301ED"/>
    <w:rsid w:val="00A30A5C"/>
    <w:rsid w:val="00A312D5"/>
    <w:rsid w:val="00A31405"/>
    <w:rsid w:val="00A31A90"/>
    <w:rsid w:val="00A3222E"/>
    <w:rsid w:val="00A32A88"/>
    <w:rsid w:val="00A330A8"/>
    <w:rsid w:val="00A330B1"/>
    <w:rsid w:val="00A33114"/>
    <w:rsid w:val="00A332CA"/>
    <w:rsid w:val="00A33CDF"/>
    <w:rsid w:val="00A33DF8"/>
    <w:rsid w:val="00A33FEC"/>
    <w:rsid w:val="00A34980"/>
    <w:rsid w:val="00A34F9C"/>
    <w:rsid w:val="00A36F7E"/>
    <w:rsid w:val="00A3716B"/>
    <w:rsid w:val="00A37200"/>
    <w:rsid w:val="00A37692"/>
    <w:rsid w:val="00A37928"/>
    <w:rsid w:val="00A37AFE"/>
    <w:rsid w:val="00A401B8"/>
    <w:rsid w:val="00A405B8"/>
    <w:rsid w:val="00A407D6"/>
    <w:rsid w:val="00A40C38"/>
    <w:rsid w:val="00A40DDC"/>
    <w:rsid w:val="00A412A5"/>
    <w:rsid w:val="00A4185D"/>
    <w:rsid w:val="00A4225D"/>
    <w:rsid w:val="00A4261A"/>
    <w:rsid w:val="00A437BB"/>
    <w:rsid w:val="00A43929"/>
    <w:rsid w:val="00A43FE8"/>
    <w:rsid w:val="00A4434F"/>
    <w:rsid w:val="00A448B7"/>
    <w:rsid w:val="00A4518F"/>
    <w:rsid w:val="00A457C9"/>
    <w:rsid w:val="00A45A9E"/>
    <w:rsid w:val="00A46129"/>
    <w:rsid w:val="00A46152"/>
    <w:rsid w:val="00A4693D"/>
    <w:rsid w:val="00A4722F"/>
    <w:rsid w:val="00A47AE2"/>
    <w:rsid w:val="00A47D4C"/>
    <w:rsid w:val="00A50704"/>
    <w:rsid w:val="00A50812"/>
    <w:rsid w:val="00A51511"/>
    <w:rsid w:val="00A51E9E"/>
    <w:rsid w:val="00A52B94"/>
    <w:rsid w:val="00A5345B"/>
    <w:rsid w:val="00A53708"/>
    <w:rsid w:val="00A53781"/>
    <w:rsid w:val="00A5391C"/>
    <w:rsid w:val="00A5407C"/>
    <w:rsid w:val="00A5500F"/>
    <w:rsid w:val="00A557C6"/>
    <w:rsid w:val="00A5655B"/>
    <w:rsid w:val="00A601B0"/>
    <w:rsid w:val="00A60F15"/>
    <w:rsid w:val="00A61D41"/>
    <w:rsid w:val="00A62951"/>
    <w:rsid w:val="00A629AE"/>
    <w:rsid w:val="00A63159"/>
    <w:rsid w:val="00A637CA"/>
    <w:rsid w:val="00A63B72"/>
    <w:rsid w:val="00A6409F"/>
    <w:rsid w:val="00A643AD"/>
    <w:rsid w:val="00A646A6"/>
    <w:rsid w:val="00A65EEF"/>
    <w:rsid w:val="00A66105"/>
    <w:rsid w:val="00A66303"/>
    <w:rsid w:val="00A67252"/>
    <w:rsid w:val="00A70296"/>
    <w:rsid w:val="00A70692"/>
    <w:rsid w:val="00A7168F"/>
    <w:rsid w:val="00A71EFF"/>
    <w:rsid w:val="00A726DD"/>
    <w:rsid w:val="00A73A98"/>
    <w:rsid w:val="00A74196"/>
    <w:rsid w:val="00A74554"/>
    <w:rsid w:val="00A74A73"/>
    <w:rsid w:val="00A75064"/>
    <w:rsid w:val="00A754BC"/>
    <w:rsid w:val="00A75B7F"/>
    <w:rsid w:val="00A75DE0"/>
    <w:rsid w:val="00A75EB6"/>
    <w:rsid w:val="00A774E3"/>
    <w:rsid w:val="00A77539"/>
    <w:rsid w:val="00A77D84"/>
    <w:rsid w:val="00A8023D"/>
    <w:rsid w:val="00A80568"/>
    <w:rsid w:val="00A80E03"/>
    <w:rsid w:val="00A80EA9"/>
    <w:rsid w:val="00A819DF"/>
    <w:rsid w:val="00A8239D"/>
    <w:rsid w:val="00A83529"/>
    <w:rsid w:val="00A83D6A"/>
    <w:rsid w:val="00A83F02"/>
    <w:rsid w:val="00A84BEB"/>
    <w:rsid w:val="00A84DC9"/>
    <w:rsid w:val="00A84E8A"/>
    <w:rsid w:val="00A85E6D"/>
    <w:rsid w:val="00A86414"/>
    <w:rsid w:val="00A87069"/>
    <w:rsid w:val="00A87772"/>
    <w:rsid w:val="00A87DA5"/>
    <w:rsid w:val="00A905E3"/>
    <w:rsid w:val="00A90AC3"/>
    <w:rsid w:val="00A90F43"/>
    <w:rsid w:val="00A91BDF"/>
    <w:rsid w:val="00A91FB2"/>
    <w:rsid w:val="00A92CC4"/>
    <w:rsid w:val="00A93E02"/>
    <w:rsid w:val="00A94A01"/>
    <w:rsid w:val="00A96B30"/>
    <w:rsid w:val="00A97EBA"/>
    <w:rsid w:val="00AA0103"/>
    <w:rsid w:val="00AA09A5"/>
    <w:rsid w:val="00AA0C31"/>
    <w:rsid w:val="00AA0CE6"/>
    <w:rsid w:val="00AA0FB8"/>
    <w:rsid w:val="00AA11D6"/>
    <w:rsid w:val="00AA1584"/>
    <w:rsid w:val="00AA20CB"/>
    <w:rsid w:val="00AA2280"/>
    <w:rsid w:val="00AA2AED"/>
    <w:rsid w:val="00AA4875"/>
    <w:rsid w:val="00AA5051"/>
    <w:rsid w:val="00AA5BB3"/>
    <w:rsid w:val="00AA7344"/>
    <w:rsid w:val="00AA739A"/>
    <w:rsid w:val="00AA7AFA"/>
    <w:rsid w:val="00AA7BBF"/>
    <w:rsid w:val="00AB00AD"/>
    <w:rsid w:val="00AB0DCA"/>
    <w:rsid w:val="00AB14A3"/>
    <w:rsid w:val="00AB16DC"/>
    <w:rsid w:val="00AB1C0E"/>
    <w:rsid w:val="00AB21F7"/>
    <w:rsid w:val="00AB2223"/>
    <w:rsid w:val="00AB2A6A"/>
    <w:rsid w:val="00AB32E8"/>
    <w:rsid w:val="00AB343A"/>
    <w:rsid w:val="00AB384C"/>
    <w:rsid w:val="00AB4121"/>
    <w:rsid w:val="00AB48AA"/>
    <w:rsid w:val="00AB4B30"/>
    <w:rsid w:val="00AB4E95"/>
    <w:rsid w:val="00AB4E9E"/>
    <w:rsid w:val="00AB4F67"/>
    <w:rsid w:val="00AB5BE1"/>
    <w:rsid w:val="00AB5F05"/>
    <w:rsid w:val="00AB67D0"/>
    <w:rsid w:val="00AB7670"/>
    <w:rsid w:val="00AC0085"/>
    <w:rsid w:val="00AC11A4"/>
    <w:rsid w:val="00AC1AA1"/>
    <w:rsid w:val="00AC1D3D"/>
    <w:rsid w:val="00AC27D7"/>
    <w:rsid w:val="00AC2BFF"/>
    <w:rsid w:val="00AC3BC6"/>
    <w:rsid w:val="00AC58A3"/>
    <w:rsid w:val="00AC6186"/>
    <w:rsid w:val="00AC6E6F"/>
    <w:rsid w:val="00AC71D9"/>
    <w:rsid w:val="00AC7315"/>
    <w:rsid w:val="00AD074A"/>
    <w:rsid w:val="00AD1AF4"/>
    <w:rsid w:val="00AD24E9"/>
    <w:rsid w:val="00AD346F"/>
    <w:rsid w:val="00AD3867"/>
    <w:rsid w:val="00AD3B30"/>
    <w:rsid w:val="00AD4044"/>
    <w:rsid w:val="00AD4486"/>
    <w:rsid w:val="00AD48A4"/>
    <w:rsid w:val="00AD4CA3"/>
    <w:rsid w:val="00AD62C3"/>
    <w:rsid w:val="00AD69B9"/>
    <w:rsid w:val="00AD6E30"/>
    <w:rsid w:val="00AD7110"/>
    <w:rsid w:val="00AD71FD"/>
    <w:rsid w:val="00AE01D2"/>
    <w:rsid w:val="00AE082A"/>
    <w:rsid w:val="00AE227E"/>
    <w:rsid w:val="00AE237C"/>
    <w:rsid w:val="00AE2C4F"/>
    <w:rsid w:val="00AE375B"/>
    <w:rsid w:val="00AE4540"/>
    <w:rsid w:val="00AE5785"/>
    <w:rsid w:val="00AE5CAF"/>
    <w:rsid w:val="00AE5DE6"/>
    <w:rsid w:val="00AE600A"/>
    <w:rsid w:val="00AE63A2"/>
    <w:rsid w:val="00AE6E6C"/>
    <w:rsid w:val="00AE7165"/>
    <w:rsid w:val="00AE74DB"/>
    <w:rsid w:val="00AE7F0A"/>
    <w:rsid w:val="00AF01AB"/>
    <w:rsid w:val="00AF0790"/>
    <w:rsid w:val="00AF0934"/>
    <w:rsid w:val="00AF0E0E"/>
    <w:rsid w:val="00AF13C1"/>
    <w:rsid w:val="00AF17C1"/>
    <w:rsid w:val="00AF1B90"/>
    <w:rsid w:val="00AF2837"/>
    <w:rsid w:val="00AF2D95"/>
    <w:rsid w:val="00AF2E86"/>
    <w:rsid w:val="00AF3086"/>
    <w:rsid w:val="00AF32B2"/>
    <w:rsid w:val="00AF426D"/>
    <w:rsid w:val="00AF48C1"/>
    <w:rsid w:val="00AF6520"/>
    <w:rsid w:val="00AF6792"/>
    <w:rsid w:val="00AF6CD0"/>
    <w:rsid w:val="00AF6D83"/>
    <w:rsid w:val="00AF7249"/>
    <w:rsid w:val="00AF75FD"/>
    <w:rsid w:val="00AF76FC"/>
    <w:rsid w:val="00B00111"/>
    <w:rsid w:val="00B00DE5"/>
    <w:rsid w:val="00B0117A"/>
    <w:rsid w:val="00B01321"/>
    <w:rsid w:val="00B01364"/>
    <w:rsid w:val="00B01D06"/>
    <w:rsid w:val="00B02FB3"/>
    <w:rsid w:val="00B032B4"/>
    <w:rsid w:val="00B0394C"/>
    <w:rsid w:val="00B03EF1"/>
    <w:rsid w:val="00B04B28"/>
    <w:rsid w:val="00B04C27"/>
    <w:rsid w:val="00B06305"/>
    <w:rsid w:val="00B066BE"/>
    <w:rsid w:val="00B0703D"/>
    <w:rsid w:val="00B07BCE"/>
    <w:rsid w:val="00B07F13"/>
    <w:rsid w:val="00B1072E"/>
    <w:rsid w:val="00B10BF6"/>
    <w:rsid w:val="00B10F52"/>
    <w:rsid w:val="00B11BBE"/>
    <w:rsid w:val="00B12261"/>
    <w:rsid w:val="00B13A9D"/>
    <w:rsid w:val="00B16067"/>
    <w:rsid w:val="00B17257"/>
    <w:rsid w:val="00B1743B"/>
    <w:rsid w:val="00B17929"/>
    <w:rsid w:val="00B20A1E"/>
    <w:rsid w:val="00B20C4A"/>
    <w:rsid w:val="00B20E86"/>
    <w:rsid w:val="00B20EE8"/>
    <w:rsid w:val="00B21426"/>
    <w:rsid w:val="00B215F6"/>
    <w:rsid w:val="00B21BBF"/>
    <w:rsid w:val="00B2305C"/>
    <w:rsid w:val="00B231A0"/>
    <w:rsid w:val="00B23DC3"/>
    <w:rsid w:val="00B23EBD"/>
    <w:rsid w:val="00B241AD"/>
    <w:rsid w:val="00B24D15"/>
    <w:rsid w:val="00B24E2F"/>
    <w:rsid w:val="00B24F16"/>
    <w:rsid w:val="00B26287"/>
    <w:rsid w:val="00B272C8"/>
    <w:rsid w:val="00B27448"/>
    <w:rsid w:val="00B27AE1"/>
    <w:rsid w:val="00B301DC"/>
    <w:rsid w:val="00B318E8"/>
    <w:rsid w:val="00B32100"/>
    <w:rsid w:val="00B32400"/>
    <w:rsid w:val="00B32CD0"/>
    <w:rsid w:val="00B32E2D"/>
    <w:rsid w:val="00B32E74"/>
    <w:rsid w:val="00B34437"/>
    <w:rsid w:val="00B34C10"/>
    <w:rsid w:val="00B35F40"/>
    <w:rsid w:val="00B365AC"/>
    <w:rsid w:val="00B370CE"/>
    <w:rsid w:val="00B37BFE"/>
    <w:rsid w:val="00B37ED5"/>
    <w:rsid w:val="00B40980"/>
    <w:rsid w:val="00B41156"/>
    <w:rsid w:val="00B41785"/>
    <w:rsid w:val="00B417EA"/>
    <w:rsid w:val="00B41897"/>
    <w:rsid w:val="00B41D2C"/>
    <w:rsid w:val="00B41F39"/>
    <w:rsid w:val="00B429BE"/>
    <w:rsid w:val="00B42B8A"/>
    <w:rsid w:val="00B43C70"/>
    <w:rsid w:val="00B43E6A"/>
    <w:rsid w:val="00B44407"/>
    <w:rsid w:val="00B447C2"/>
    <w:rsid w:val="00B44C72"/>
    <w:rsid w:val="00B44FC8"/>
    <w:rsid w:val="00B46288"/>
    <w:rsid w:val="00B46A43"/>
    <w:rsid w:val="00B46CC9"/>
    <w:rsid w:val="00B4707D"/>
    <w:rsid w:val="00B474A7"/>
    <w:rsid w:val="00B47D78"/>
    <w:rsid w:val="00B47DA4"/>
    <w:rsid w:val="00B50142"/>
    <w:rsid w:val="00B50B05"/>
    <w:rsid w:val="00B51588"/>
    <w:rsid w:val="00B51DA3"/>
    <w:rsid w:val="00B524FC"/>
    <w:rsid w:val="00B52694"/>
    <w:rsid w:val="00B526D8"/>
    <w:rsid w:val="00B5274D"/>
    <w:rsid w:val="00B527C9"/>
    <w:rsid w:val="00B5421D"/>
    <w:rsid w:val="00B54A16"/>
    <w:rsid w:val="00B54B1D"/>
    <w:rsid w:val="00B54D65"/>
    <w:rsid w:val="00B54F22"/>
    <w:rsid w:val="00B556BA"/>
    <w:rsid w:val="00B55F23"/>
    <w:rsid w:val="00B55F78"/>
    <w:rsid w:val="00B562BF"/>
    <w:rsid w:val="00B56735"/>
    <w:rsid w:val="00B57B3C"/>
    <w:rsid w:val="00B60440"/>
    <w:rsid w:val="00B6070B"/>
    <w:rsid w:val="00B60B29"/>
    <w:rsid w:val="00B6156A"/>
    <w:rsid w:val="00B61EEF"/>
    <w:rsid w:val="00B61FEF"/>
    <w:rsid w:val="00B623E2"/>
    <w:rsid w:val="00B634FB"/>
    <w:rsid w:val="00B63523"/>
    <w:rsid w:val="00B63B3D"/>
    <w:rsid w:val="00B63EF1"/>
    <w:rsid w:val="00B642E7"/>
    <w:rsid w:val="00B645B3"/>
    <w:rsid w:val="00B64D00"/>
    <w:rsid w:val="00B64F3C"/>
    <w:rsid w:val="00B64FA7"/>
    <w:rsid w:val="00B65996"/>
    <w:rsid w:val="00B65EDF"/>
    <w:rsid w:val="00B66297"/>
    <w:rsid w:val="00B66FA6"/>
    <w:rsid w:val="00B67909"/>
    <w:rsid w:val="00B67B8B"/>
    <w:rsid w:val="00B71FC8"/>
    <w:rsid w:val="00B72309"/>
    <w:rsid w:val="00B72557"/>
    <w:rsid w:val="00B7260C"/>
    <w:rsid w:val="00B73300"/>
    <w:rsid w:val="00B73AD4"/>
    <w:rsid w:val="00B743E2"/>
    <w:rsid w:val="00B748C5"/>
    <w:rsid w:val="00B74C2C"/>
    <w:rsid w:val="00B763B0"/>
    <w:rsid w:val="00B76759"/>
    <w:rsid w:val="00B7743A"/>
    <w:rsid w:val="00B77683"/>
    <w:rsid w:val="00B77DB3"/>
    <w:rsid w:val="00B80057"/>
    <w:rsid w:val="00B80356"/>
    <w:rsid w:val="00B80D03"/>
    <w:rsid w:val="00B81553"/>
    <w:rsid w:val="00B81E3D"/>
    <w:rsid w:val="00B82183"/>
    <w:rsid w:val="00B837B7"/>
    <w:rsid w:val="00B83BBA"/>
    <w:rsid w:val="00B84260"/>
    <w:rsid w:val="00B84516"/>
    <w:rsid w:val="00B84794"/>
    <w:rsid w:val="00B8561F"/>
    <w:rsid w:val="00B86471"/>
    <w:rsid w:val="00B86559"/>
    <w:rsid w:val="00B866FB"/>
    <w:rsid w:val="00B86C9F"/>
    <w:rsid w:val="00B86E7A"/>
    <w:rsid w:val="00B86E92"/>
    <w:rsid w:val="00B875C2"/>
    <w:rsid w:val="00B9034D"/>
    <w:rsid w:val="00B903EE"/>
    <w:rsid w:val="00B9056C"/>
    <w:rsid w:val="00B91269"/>
    <w:rsid w:val="00B936D6"/>
    <w:rsid w:val="00B93E96"/>
    <w:rsid w:val="00B94A86"/>
    <w:rsid w:val="00B94D80"/>
    <w:rsid w:val="00B954D4"/>
    <w:rsid w:val="00B9628C"/>
    <w:rsid w:val="00B96689"/>
    <w:rsid w:val="00B97027"/>
    <w:rsid w:val="00B97031"/>
    <w:rsid w:val="00B97158"/>
    <w:rsid w:val="00B9721A"/>
    <w:rsid w:val="00B97956"/>
    <w:rsid w:val="00B97DA5"/>
    <w:rsid w:val="00BA03C5"/>
    <w:rsid w:val="00BA04A7"/>
    <w:rsid w:val="00BA0715"/>
    <w:rsid w:val="00BA0FD5"/>
    <w:rsid w:val="00BA1959"/>
    <w:rsid w:val="00BA2014"/>
    <w:rsid w:val="00BA2486"/>
    <w:rsid w:val="00BA2505"/>
    <w:rsid w:val="00BA25FB"/>
    <w:rsid w:val="00BA2FC5"/>
    <w:rsid w:val="00BA3A6F"/>
    <w:rsid w:val="00BA3A72"/>
    <w:rsid w:val="00BA4497"/>
    <w:rsid w:val="00BA4BF4"/>
    <w:rsid w:val="00BA4FAA"/>
    <w:rsid w:val="00BA63CA"/>
    <w:rsid w:val="00BA6CFC"/>
    <w:rsid w:val="00BA7476"/>
    <w:rsid w:val="00BA75CF"/>
    <w:rsid w:val="00BB0230"/>
    <w:rsid w:val="00BB0972"/>
    <w:rsid w:val="00BB0A57"/>
    <w:rsid w:val="00BB24F5"/>
    <w:rsid w:val="00BB33AA"/>
    <w:rsid w:val="00BB3795"/>
    <w:rsid w:val="00BB3E69"/>
    <w:rsid w:val="00BB447F"/>
    <w:rsid w:val="00BB4608"/>
    <w:rsid w:val="00BB5442"/>
    <w:rsid w:val="00BB57B2"/>
    <w:rsid w:val="00BB5BC5"/>
    <w:rsid w:val="00BB5F17"/>
    <w:rsid w:val="00BB6E04"/>
    <w:rsid w:val="00BB7288"/>
    <w:rsid w:val="00BB7E0E"/>
    <w:rsid w:val="00BB7FF1"/>
    <w:rsid w:val="00BC0F80"/>
    <w:rsid w:val="00BC3567"/>
    <w:rsid w:val="00BC459E"/>
    <w:rsid w:val="00BC4A45"/>
    <w:rsid w:val="00BC4BEE"/>
    <w:rsid w:val="00BC4ED8"/>
    <w:rsid w:val="00BC572D"/>
    <w:rsid w:val="00BC58B2"/>
    <w:rsid w:val="00BC5A7C"/>
    <w:rsid w:val="00BC5BB9"/>
    <w:rsid w:val="00BC63EA"/>
    <w:rsid w:val="00BC7E63"/>
    <w:rsid w:val="00BD0030"/>
    <w:rsid w:val="00BD031B"/>
    <w:rsid w:val="00BD25F5"/>
    <w:rsid w:val="00BD33F3"/>
    <w:rsid w:val="00BD3ADC"/>
    <w:rsid w:val="00BD4490"/>
    <w:rsid w:val="00BD5D21"/>
    <w:rsid w:val="00BD60C2"/>
    <w:rsid w:val="00BD6190"/>
    <w:rsid w:val="00BD6684"/>
    <w:rsid w:val="00BD6B62"/>
    <w:rsid w:val="00BD7FEA"/>
    <w:rsid w:val="00BE2077"/>
    <w:rsid w:val="00BE2FA3"/>
    <w:rsid w:val="00BE3F74"/>
    <w:rsid w:val="00BE400E"/>
    <w:rsid w:val="00BE411E"/>
    <w:rsid w:val="00BE5071"/>
    <w:rsid w:val="00BE5EF5"/>
    <w:rsid w:val="00BE5FB7"/>
    <w:rsid w:val="00BE5FBC"/>
    <w:rsid w:val="00BE602E"/>
    <w:rsid w:val="00BE64C4"/>
    <w:rsid w:val="00BF02E7"/>
    <w:rsid w:val="00BF03E4"/>
    <w:rsid w:val="00BF1BF8"/>
    <w:rsid w:val="00BF251B"/>
    <w:rsid w:val="00BF3185"/>
    <w:rsid w:val="00BF344F"/>
    <w:rsid w:val="00BF3BE0"/>
    <w:rsid w:val="00BF4743"/>
    <w:rsid w:val="00BF4D48"/>
    <w:rsid w:val="00BF4FD6"/>
    <w:rsid w:val="00BF5B22"/>
    <w:rsid w:val="00BF5DF8"/>
    <w:rsid w:val="00BF6EDB"/>
    <w:rsid w:val="00BF6F35"/>
    <w:rsid w:val="00BF7E9D"/>
    <w:rsid w:val="00BF7EB5"/>
    <w:rsid w:val="00C016FE"/>
    <w:rsid w:val="00C02437"/>
    <w:rsid w:val="00C0252C"/>
    <w:rsid w:val="00C027F5"/>
    <w:rsid w:val="00C0287F"/>
    <w:rsid w:val="00C04720"/>
    <w:rsid w:val="00C047DF"/>
    <w:rsid w:val="00C04D74"/>
    <w:rsid w:val="00C05163"/>
    <w:rsid w:val="00C053D2"/>
    <w:rsid w:val="00C05B10"/>
    <w:rsid w:val="00C05E83"/>
    <w:rsid w:val="00C06D57"/>
    <w:rsid w:val="00C07B58"/>
    <w:rsid w:val="00C07C64"/>
    <w:rsid w:val="00C1094D"/>
    <w:rsid w:val="00C10995"/>
    <w:rsid w:val="00C115C0"/>
    <w:rsid w:val="00C11741"/>
    <w:rsid w:val="00C123E0"/>
    <w:rsid w:val="00C12AED"/>
    <w:rsid w:val="00C12F84"/>
    <w:rsid w:val="00C15BFE"/>
    <w:rsid w:val="00C15DDF"/>
    <w:rsid w:val="00C16A2A"/>
    <w:rsid w:val="00C1702A"/>
    <w:rsid w:val="00C17317"/>
    <w:rsid w:val="00C17BB5"/>
    <w:rsid w:val="00C17F14"/>
    <w:rsid w:val="00C20B95"/>
    <w:rsid w:val="00C20C3F"/>
    <w:rsid w:val="00C20CAA"/>
    <w:rsid w:val="00C216EE"/>
    <w:rsid w:val="00C21DEB"/>
    <w:rsid w:val="00C21F98"/>
    <w:rsid w:val="00C22706"/>
    <w:rsid w:val="00C22A10"/>
    <w:rsid w:val="00C238FE"/>
    <w:rsid w:val="00C246ED"/>
    <w:rsid w:val="00C254A0"/>
    <w:rsid w:val="00C25561"/>
    <w:rsid w:val="00C25D0B"/>
    <w:rsid w:val="00C25D19"/>
    <w:rsid w:val="00C25D51"/>
    <w:rsid w:val="00C263A4"/>
    <w:rsid w:val="00C26BCC"/>
    <w:rsid w:val="00C30433"/>
    <w:rsid w:val="00C3094D"/>
    <w:rsid w:val="00C30D07"/>
    <w:rsid w:val="00C30ED4"/>
    <w:rsid w:val="00C3151A"/>
    <w:rsid w:val="00C31B4B"/>
    <w:rsid w:val="00C322C0"/>
    <w:rsid w:val="00C3280B"/>
    <w:rsid w:val="00C33C03"/>
    <w:rsid w:val="00C3480F"/>
    <w:rsid w:val="00C34CE4"/>
    <w:rsid w:val="00C35503"/>
    <w:rsid w:val="00C358E5"/>
    <w:rsid w:val="00C36B31"/>
    <w:rsid w:val="00C400D4"/>
    <w:rsid w:val="00C4023A"/>
    <w:rsid w:val="00C40563"/>
    <w:rsid w:val="00C41507"/>
    <w:rsid w:val="00C42355"/>
    <w:rsid w:val="00C423C2"/>
    <w:rsid w:val="00C42652"/>
    <w:rsid w:val="00C42E8F"/>
    <w:rsid w:val="00C43330"/>
    <w:rsid w:val="00C43AB6"/>
    <w:rsid w:val="00C44CFD"/>
    <w:rsid w:val="00C45C5F"/>
    <w:rsid w:val="00C45CBA"/>
    <w:rsid w:val="00C45E75"/>
    <w:rsid w:val="00C462B2"/>
    <w:rsid w:val="00C46F12"/>
    <w:rsid w:val="00C471E0"/>
    <w:rsid w:val="00C47305"/>
    <w:rsid w:val="00C47AE2"/>
    <w:rsid w:val="00C5200F"/>
    <w:rsid w:val="00C5224C"/>
    <w:rsid w:val="00C5237A"/>
    <w:rsid w:val="00C523FB"/>
    <w:rsid w:val="00C529F9"/>
    <w:rsid w:val="00C52E05"/>
    <w:rsid w:val="00C547A8"/>
    <w:rsid w:val="00C54C56"/>
    <w:rsid w:val="00C554AB"/>
    <w:rsid w:val="00C55938"/>
    <w:rsid w:val="00C562B2"/>
    <w:rsid w:val="00C56D3F"/>
    <w:rsid w:val="00C56D68"/>
    <w:rsid w:val="00C57133"/>
    <w:rsid w:val="00C57C5A"/>
    <w:rsid w:val="00C57C79"/>
    <w:rsid w:val="00C57E50"/>
    <w:rsid w:val="00C60369"/>
    <w:rsid w:val="00C62A1D"/>
    <w:rsid w:val="00C636CD"/>
    <w:rsid w:val="00C63E17"/>
    <w:rsid w:val="00C63FBD"/>
    <w:rsid w:val="00C64E95"/>
    <w:rsid w:val="00C651BB"/>
    <w:rsid w:val="00C655EC"/>
    <w:rsid w:val="00C65A98"/>
    <w:rsid w:val="00C65B23"/>
    <w:rsid w:val="00C65DCB"/>
    <w:rsid w:val="00C66451"/>
    <w:rsid w:val="00C6656A"/>
    <w:rsid w:val="00C6688F"/>
    <w:rsid w:val="00C6723F"/>
    <w:rsid w:val="00C7078D"/>
    <w:rsid w:val="00C7134A"/>
    <w:rsid w:val="00C71C04"/>
    <w:rsid w:val="00C72138"/>
    <w:rsid w:val="00C72F98"/>
    <w:rsid w:val="00C73123"/>
    <w:rsid w:val="00C75E6C"/>
    <w:rsid w:val="00C776F5"/>
    <w:rsid w:val="00C81E8C"/>
    <w:rsid w:val="00C81EF3"/>
    <w:rsid w:val="00C82529"/>
    <w:rsid w:val="00C83AD0"/>
    <w:rsid w:val="00C83BE5"/>
    <w:rsid w:val="00C8441A"/>
    <w:rsid w:val="00C85452"/>
    <w:rsid w:val="00C85993"/>
    <w:rsid w:val="00C8642F"/>
    <w:rsid w:val="00C86823"/>
    <w:rsid w:val="00C86A9A"/>
    <w:rsid w:val="00C876F4"/>
    <w:rsid w:val="00C87A4C"/>
    <w:rsid w:val="00C87D9A"/>
    <w:rsid w:val="00C87E9D"/>
    <w:rsid w:val="00C9062E"/>
    <w:rsid w:val="00C9109B"/>
    <w:rsid w:val="00C9197B"/>
    <w:rsid w:val="00C91DF0"/>
    <w:rsid w:val="00C91E99"/>
    <w:rsid w:val="00C92E13"/>
    <w:rsid w:val="00C93AF5"/>
    <w:rsid w:val="00C94369"/>
    <w:rsid w:val="00C94461"/>
    <w:rsid w:val="00C94AF1"/>
    <w:rsid w:val="00C94BF6"/>
    <w:rsid w:val="00C94EDC"/>
    <w:rsid w:val="00C94FAF"/>
    <w:rsid w:val="00C94FB3"/>
    <w:rsid w:val="00C95A25"/>
    <w:rsid w:val="00C96770"/>
    <w:rsid w:val="00C970DC"/>
    <w:rsid w:val="00CA005E"/>
    <w:rsid w:val="00CA0AAC"/>
    <w:rsid w:val="00CA1C88"/>
    <w:rsid w:val="00CA1E60"/>
    <w:rsid w:val="00CA2479"/>
    <w:rsid w:val="00CA2DF8"/>
    <w:rsid w:val="00CA313F"/>
    <w:rsid w:val="00CA380A"/>
    <w:rsid w:val="00CA3D3A"/>
    <w:rsid w:val="00CA4073"/>
    <w:rsid w:val="00CA421F"/>
    <w:rsid w:val="00CA4467"/>
    <w:rsid w:val="00CA4BEF"/>
    <w:rsid w:val="00CA51B1"/>
    <w:rsid w:val="00CA704B"/>
    <w:rsid w:val="00CB0799"/>
    <w:rsid w:val="00CB07C4"/>
    <w:rsid w:val="00CB1773"/>
    <w:rsid w:val="00CB288D"/>
    <w:rsid w:val="00CB296C"/>
    <w:rsid w:val="00CB2E3A"/>
    <w:rsid w:val="00CB3303"/>
    <w:rsid w:val="00CB3771"/>
    <w:rsid w:val="00CB3C3F"/>
    <w:rsid w:val="00CB3E5B"/>
    <w:rsid w:val="00CB3E89"/>
    <w:rsid w:val="00CB59A1"/>
    <w:rsid w:val="00CB5A98"/>
    <w:rsid w:val="00CB5B97"/>
    <w:rsid w:val="00CB64CA"/>
    <w:rsid w:val="00CB6E62"/>
    <w:rsid w:val="00CB7386"/>
    <w:rsid w:val="00CC020A"/>
    <w:rsid w:val="00CC16CB"/>
    <w:rsid w:val="00CC2CDB"/>
    <w:rsid w:val="00CC459B"/>
    <w:rsid w:val="00CC5832"/>
    <w:rsid w:val="00CC6009"/>
    <w:rsid w:val="00CC7CF7"/>
    <w:rsid w:val="00CC7F63"/>
    <w:rsid w:val="00CD0898"/>
    <w:rsid w:val="00CD0CED"/>
    <w:rsid w:val="00CD0D93"/>
    <w:rsid w:val="00CD406D"/>
    <w:rsid w:val="00CD40F1"/>
    <w:rsid w:val="00CD437E"/>
    <w:rsid w:val="00CD4B9F"/>
    <w:rsid w:val="00CD5ADF"/>
    <w:rsid w:val="00CD647A"/>
    <w:rsid w:val="00CD64ED"/>
    <w:rsid w:val="00CD6B56"/>
    <w:rsid w:val="00CD6DAD"/>
    <w:rsid w:val="00CD6FFE"/>
    <w:rsid w:val="00CD7305"/>
    <w:rsid w:val="00CD7438"/>
    <w:rsid w:val="00CD7C82"/>
    <w:rsid w:val="00CD7FC9"/>
    <w:rsid w:val="00CE033F"/>
    <w:rsid w:val="00CE0465"/>
    <w:rsid w:val="00CE104B"/>
    <w:rsid w:val="00CE12A0"/>
    <w:rsid w:val="00CE130E"/>
    <w:rsid w:val="00CE1336"/>
    <w:rsid w:val="00CE37C9"/>
    <w:rsid w:val="00CE3BEB"/>
    <w:rsid w:val="00CE40AF"/>
    <w:rsid w:val="00CE47FF"/>
    <w:rsid w:val="00CE5061"/>
    <w:rsid w:val="00CE54D8"/>
    <w:rsid w:val="00CE561B"/>
    <w:rsid w:val="00CE63FB"/>
    <w:rsid w:val="00CE65B2"/>
    <w:rsid w:val="00CE671B"/>
    <w:rsid w:val="00CE680C"/>
    <w:rsid w:val="00CE68AA"/>
    <w:rsid w:val="00CE6B9D"/>
    <w:rsid w:val="00CE6D0F"/>
    <w:rsid w:val="00CE6DEA"/>
    <w:rsid w:val="00CE7507"/>
    <w:rsid w:val="00CE7975"/>
    <w:rsid w:val="00CE7D37"/>
    <w:rsid w:val="00CF0C71"/>
    <w:rsid w:val="00CF181D"/>
    <w:rsid w:val="00CF21B7"/>
    <w:rsid w:val="00CF2858"/>
    <w:rsid w:val="00CF2B94"/>
    <w:rsid w:val="00CF2F40"/>
    <w:rsid w:val="00CF3120"/>
    <w:rsid w:val="00CF332A"/>
    <w:rsid w:val="00CF342D"/>
    <w:rsid w:val="00CF3490"/>
    <w:rsid w:val="00CF3EFF"/>
    <w:rsid w:val="00CF4337"/>
    <w:rsid w:val="00CF4C46"/>
    <w:rsid w:val="00CF5200"/>
    <w:rsid w:val="00CF5D61"/>
    <w:rsid w:val="00CF5EC2"/>
    <w:rsid w:val="00CF6087"/>
    <w:rsid w:val="00CF6C90"/>
    <w:rsid w:val="00CF6EF7"/>
    <w:rsid w:val="00CF722E"/>
    <w:rsid w:val="00CF72A6"/>
    <w:rsid w:val="00D0008C"/>
    <w:rsid w:val="00D01200"/>
    <w:rsid w:val="00D01F8A"/>
    <w:rsid w:val="00D025AD"/>
    <w:rsid w:val="00D0268D"/>
    <w:rsid w:val="00D0285A"/>
    <w:rsid w:val="00D02A19"/>
    <w:rsid w:val="00D02EEF"/>
    <w:rsid w:val="00D03E84"/>
    <w:rsid w:val="00D046C2"/>
    <w:rsid w:val="00D048A8"/>
    <w:rsid w:val="00D048F2"/>
    <w:rsid w:val="00D05B6B"/>
    <w:rsid w:val="00D05F95"/>
    <w:rsid w:val="00D0777D"/>
    <w:rsid w:val="00D079BB"/>
    <w:rsid w:val="00D10CBE"/>
    <w:rsid w:val="00D10CC8"/>
    <w:rsid w:val="00D10E5D"/>
    <w:rsid w:val="00D11267"/>
    <w:rsid w:val="00D1326D"/>
    <w:rsid w:val="00D13790"/>
    <w:rsid w:val="00D14176"/>
    <w:rsid w:val="00D14492"/>
    <w:rsid w:val="00D14F5A"/>
    <w:rsid w:val="00D16369"/>
    <w:rsid w:val="00D16E44"/>
    <w:rsid w:val="00D174CF"/>
    <w:rsid w:val="00D17737"/>
    <w:rsid w:val="00D17D05"/>
    <w:rsid w:val="00D215E1"/>
    <w:rsid w:val="00D21ECF"/>
    <w:rsid w:val="00D22142"/>
    <w:rsid w:val="00D2245E"/>
    <w:rsid w:val="00D23EE7"/>
    <w:rsid w:val="00D24467"/>
    <w:rsid w:val="00D24764"/>
    <w:rsid w:val="00D24A48"/>
    <w:rsid w:val="00D24C53"/>
    <w:rsid w:val="00D261D3"/>
    <w:rsid w:val="00D26563"/>
    <w:rsid w:val="00D2659E"/>
    <w:rsid w:val="00D27217"/>
    <w:rsid w:val="00D30438"/>
    <w:rsid w:val="00D3271F"/>
    <w:rsid w:val="00D33004"/>
    <w:rsid w:val="00D33E67"/>
    <w:rsid w:val="00D34185"/>
    <w:rsid w:val="00D3449C"/>
    <w:rsid w:val="00D347EC"/>
    <w:rsid w:val="00D3497E"/>
    <w:rsid w:val="00D34B17"/>
    <w:rsid w:val="00D3535F"/>
    <w:rsid w:val="00D35B6A"/>
    <w:rsid w:val="00D36DD8"/>
    <w:rsid w:val="00D371CC"/>
    <w:rsid w:val="00D37BAE"/>
    <w:rsid w:val="00D37D55"/>
    <w:rsid w:val="00D40214"/>
    <w:rsid w:val="00D403FD"/>
    <w:rsid w:val="00D40EAA"/>
    <w:rsid w:val="00D423BF"/>
    <w:rsid w:val="00D42804"/>
    <w:rsid w:val="00D43939"/>
    <w:rsid w:val="00D4525A"/>
    <w:rsid w:val="00D4558E"/>
    <w:rsid w:val="00D45961"/>
    <w:rsid w:val="00D45CE8"/>
    <w:rsid w:val="00D46210"/>
    <w:rsid w:val="00D462E8"/>
    <w:rsid w:val="00D46FBF"/>
    <w:rsid w:val="00D47131"/>
    <w:rsid w:val="00D47469"/>
    <w:rsid w:val="00D47827"/>
    <w:rsid w:val="00D478F5"/>
    <w:rsid w:val="00D5012C"/>
    <w:rsid w:val="00D50485"/>
    <w:rsid w:val="00D50845"/>
    <w:rsid w:val="00D51A8E"/>
    <w:rsid w:val="00D51E34"/>
    <w:rsid w:val="00D51F3E"/>
    <w:rsid w:val="00D51FF4"/>
    <w:rsid w:val="00D5201F"/>
    <w:rsid w:val="00D53A8B"/>
    <w:rsid w:val="00D53D68"/>
    <w:rsid w:val="00D54377"/>
    <w:rsid w:val="00D5474F"/>
    <w:rsid w:val="00D548CF"/>
    <w:rsid w:val="00D54959"/>
    <w:rsid w:val="00D55746"/>
    <w:rsid w:val="00D5588F"/>
    <w:rsid w:val="00D56371"/>
    <w:rsid w:val="00D57373"/>
    <w:rsid w:val="00D57380"/>
    <w:rsid w:val="00D57567"/>
    <w:rsid w:val="00D57686"/>
    <w:rsid w:val="00D57A9B"/>
    <w:rsid w:val="00D61153"/>
    <w:rsid w:val="00D61713"/>
    <w:rsid w:val="00D61F7C"/>
    <w:rsid w:val="00D627A3"/>
    <w:rsid w:val="00D62F30"/>
    <w:rsid w:val="00D63012"/>
    <w:rsid w:val="00D63C8F"/>
    <w:rsid w:val="00D640AB"/>
    <w:rsid w:val="00D643A9"/>
    <w:rsid w:val="00D64450"/>
    <w:rsid w:val="00D645FD"/>
    <w:rsid w:val="00D646ED"/>
    <w:rsid w:val="00D65BD0"/>
    <w:rsid w:val="00D668DD"/>
    <w:rsid w:val="00D67865"/>
    <w:rsid w:val="00D70346"/>
    <w:rsid w:val="00D71C7F"/>
    <w:rsid w:val="00D723E7"/>
    <w:rsid w:val="00D7290E"/>
    <w:rsid w:val="00D73186"/>
    <w:rsid w:val="00D73CDD"/>
    <w:rsid w:val="00D74357"/>
    <w:rsid w:val="00D7462D"/>
    <w:rsid w:val="00D7468D"/>
    <w:rsid w:val="00D753CF"/>
    <w:rsid w:val="00D7577F"/>
    <w:rsid w:val="00D75885"/>
    <w:rsid w:val="00D75951"/>
    <w:rsid w:val="00D7612B"/>
    <w:rsid w:val="00D7627C"/>
    <w:rsid w:val="00D765F7"/>
    <w:rsid w:val="00D76CBE"/>
    <w:rsid w:val="00D77376"/>
    <w:rsid w:val="00D774BC"/>
    <w:rsid w:val="00D7789E"/>
    <w:rsid w:val="00D77B00"/>
    <w:rsid w:val="00D77F30"/>
    <w:rsid w:val="00D807A5"/>
    <w:rsid w:val="00D8084A"/>
    <w:rsid w:val="00D80B75"/>
    <w:rsid w:val="00D80C3E"/>
    <w:rsid w:val="00D81C59"/>
    <w:rsid w:val="00D820DD"/>
    <w:rsid w:val="00D82584"/>
    <w:rsid w:val="00D837A4"/>
    <w:rsid w:val="00D84B7C"/>
    <w:rsid w:val="00D859AE"/>
    <w:rsid w:val="00D867D1"/>
    <w:rsid w:val="00D900C9"/>
    <w:rsid w:val="00D90B23"/>
    <w:rsid w:val="00D91018"/>
    <w:rsid w:val="00D91B00"/>
    <w:rsid w:val="00D91CE1"/>
    <w:rsid w:val="00D91F74"/>
    <w:rsid w:val="00D9228D"/>
    <w:rsid w:val="00D924F3"/>
    <w:rsid w:val="00D92A4D"/>
    <w:rsid w:val="00D92CF9"/>
    <w:rsid w:val="00D92DFD"/>
    <w:rsid w:val="00D92E6D"/>
    <w:rsid w:val="00D93ECD"/>
    <w:rsid w:val="00D951B7"/>
    <w:rsid w:val="00D96100"/>
    <w:rsid w:val="00D966EC"/>
    <w:rsid w:val="00D967A9"/>
    <w:rsid w:val="00D967B7"/>
    <w:rsid w:val="00D96E0F"/>
    <w:rsid w:val="00D9724D"/>
    <w:rsid w:val="00D97801"/>
    <w:rsid w:val="00DA065C"/>
    <w:rsid w:val="00DA0ABC"/>
    <w:rsid w:val="00DA2471"/>
    <w:rsid w:val="00DA2CF7"/>
    <w:rsid w:val="00DA3956"/>
    <w:rsid w:val="00DA4970"/>
    <w:rsid w:val="00DA53C8"/>
    <w:rsid w:val="00DA582B"/>
    <w:rsid w:val="00DA5D88"/>
    <w:rsid w:val="00DA5E17"/>
    <w:rsid w:val="00DA6236"/>
    <w:rsid w:val="00DA759E"/>
    <w:rsid w:val="00DA7743"/>
    <w:rsid w:val="00DA7AD6"/>
    <w:rsid w:val="00DB034A"/>
    <w:rsid w:val="00DB083D"/>
    <w:rsid w:val="00DB1003"/>
    <w:rsid w:val="00DB1C0F"/>
    <w:rsid w:val="00DB20A8"/>
    <w:rsid w:val="00DB21AB"/>
    <w:rsid w:val="00DB2355"/>
    <w:rsid w:val="00DB2E86"/>
    <w:rsid w:val="00DB4B1F"/>
    <w:rsid w:val="00DB5156"/>
    <w:rsid w:val="00DB5F6B"/>
    <w:rsid w:val="00DB7262"/>
    <w:rsid w:val="00DC00C9"/>
    <w:rsid w:val="00DC025C"/>
    <w:rsid w:val="00DC0563"/>
    <w:rsid w:val="00DC0C98"/>
    <w:rsid w:val="00DC0D84"/>
    <w:rsid w:val="00DC1759"/>
    <w:rsid w:val="00DC18C4"/>
    <w:rsid w:val="00DC1B00"/>
    <w:rsid w:val="00DC2568"/>
    <w:rsid w:val="00DC29DA"/>
    <w:rsid w:val="00DC2FAC"/>
    <w:rsid w:val="00DC3948"/>
    <w:rsid w:val="00DC3C0B"/>
    <w:rsid w:val="00DC54AC"/>
    <w:rsid w:val="00DC5DE4"/>
    <w:rsid w:val="00DC633C"/>
    <w:rsid w:val="00DC7206"/>
    <w:rsid w:val="00DC74BC"/>
    <w:rsid w:val="00DC7B1D"/>
    <w:rsid w:val="00DC7C53"/>
    <w:rsid w:val="00DD04B0"/>
    <w:rsid w:val="00DD04D6"/>
    <w:rsid w:val="00DD23F7"/>
    <w:rsid w:val="00DD2C46"/>
    <w:rsid w:val="00DD2E34"/>
    <w:rsid w:val="00DD3506"/>
    <w:rsid w:val="00DD36BC"/>
    <w:rsid w:val="00DD370E"/>
    <w:rsid w:val="00DD373D"/>
    <w:rsid w:val="00DD39F1"/>
    <w:rsid w:val="00DD6CEC"/>
    <w:rsid w:val="00DE00FB"/>
    <w:rsid w:val="00DE0AD1"/>
    <w:rsid w:val="00DE12E0"/>
    <w:rsid w:val="00DE215D"/>
    <w:rsid w:val="00DE2F7A"/>
    <w:rsid w:val="00DE3AA2"/>
    <w:rsid w:val="00DE4AE3"/>
    <w:rsid w:val="00DE53D2"/>
    <w:rsid w:val="00DE59B1"/>
    <w:rsid w:val="00DE5C24"/>
    <w:rsid w:val="00DE5DE0"/>
    <w:rsid w:val="00DE6B5E"/>
    <w:rsid w:val="00DE6BAC"/>
    <w:rsid w:val="00DE728C"/>
    <w:rsid w:val="00DE755C"/>
    <w:rsid w:val="00DF15B8"/>
    <w:rsid w:val="00DF1D8C"/>
    <w:rsid w:val="00DF2723"/>
    <w:rsid w:val="00DF3901"/>
    <w:rsid w:val="00DF39F6"/>
    <w:rsid w:val="00DF46D6"/>
    <w:rsid w:val="00DF4711"/>
    <w:rsid w:val="00DF47F9"/>
    <w:rsid w:val="00DF4AA9"/>
    <w:rsid w:val="00DF510B"/>
    <w:rsid w:val="00DF56BB"/>
    <w:rsid w:val="00DF5C6D"/>
    <w:rsid w:val="00DF63CE"/>
    <w:rsid w:val="00DF6C57"/>
    <w:rsid w:val="00DF6FD5"/>
    <w:rsid w:val="00DF7C46"/>
    <w:rsid w:val="00DF7E6B"/>
    <w:rsid w:val="00DF7FB6"/>
    <w:rsid w:val="00E014AD"/>
    <w:rsid w:val="00E01F2F"/>
    <w:rsid w:val="00E0271F"/>
    <w:rsid w:val="00E03213"/>
    <w:rsid w:val="00E0346B"/>
    <w:rsid w:val="00E0419E"/>
    <w:rsid w:val="00E0428F"/>
    <w:rsid w:val="00E05052"/>
    <w:rsid w:val="00E05161"/>
    <w:rsid w:val="00E05523"/>
    <w:rsid w:val="00E064DF"/>
    <w:rsid w:val="00E0651E"/>
    <w:rsid w:val="00E0662D"/>
    <w:rsid w:val="00E07551"/>
    <w:rsid w:val="00E078C6"/>
    <w:rsid w:val="00E10A84"/>
    <w:rsid w:val="00E1247E"/>
    <w:rsid w:val="00E12C28"/>
    <w:rsid w:val="00E13113"/>
    <w:rsid w:val="00E1335D"/>
    <w:rsid w:val="00E1394D"/>
    <w:rsid w:val="00E13E22"/>
    <w:rsid w:val="00E143C7"/>
    <w:rsid w:val="00E1635A"/>
    <w:rsid w:val="00E16411"/>
    <w:rsid w:val="00E16915"/>
    <w:rsid w:val="00E1726D"/>
    <w:rsid w:val="00E17AA6"/>
    <w:rsid w:val="00E209AF"/>
    <w:rsid w:val="00E210A0"/>
    <w:rsid w:val="00E21945"/>
    <w:rsid w:val="00E21B9B"/>
    <w:rsid w:val="00E21DA2"/>
    <w:rsid w:val="00E225D6"/>
    <w:rsid w:val="00E23692"/>
    <w:rsid w:val="00E24F1A"/>
    <w:rsid w:val="00E25133"/>
    <w:rsid w:val="00E25517"/>
    <w:rsid w:val="00E25554"/>
    <w:rsid w:val="00E258CB"/>
    <w:rsid w:val="00E2685E"/>
    <w:rsid w:val="00E26AA6"/>
    <w:rsid w:val="00E27CC7"/>
    <w:rsid w:val="00E27DC2"/>
    <w:rsid w:val="00E32009"/>
    <w:rsid w:val="00E3213A"/>
    <w:rsid w:val="00E32403"/>
    <w:rsid w:val="00E329B7"/>
    <w:rsid w:val="00E3309B"/>
    <w:rsid w:val="00E334E6"/>
    <w:rsid w:val="00E33D04"/>
    <w:rsid w:val="00E35812"/>
    <w:rsid w:val="00E35C8A"/>
    <w:rsid w:val="00E35FB1"/>
    <w:rsid w:val="00E365FE"/>
    <w:rsid w:val="00E36921"/>
    <w:rsid w:val="00E36F37"/>
    <w:rsid w:val="00E372B4"/>
    <w:rsid w:val="00E3743C"/>
    <w:rsid w:val="00E37661"/>
    <w:rsid w:val="00E37BA6"/>
    <w:rsid w:val="00E40E9A"/>
    <w:rsid w:val="00E40EE6"/>
    <w:rsid w:val="00E41779"/>
    <w:rsid w:val="00E4268F"/>
    <w:rsid w:val="00E42A1E"/>
    <w:rsid w:val="00E42D66"/>
    <w:rsid w:val="00E430FC"/>
    <w:rsid w:val="00E44134"/>
    <w:rsid w:val="00E4423F"/>
    <w:rsid w:val="00E44961"/>
    <w:rsid w:val="00E45CCA"/>
    <w:rsid w:val="00E463E3"/>
    <w:rsid w:val="00E46CF0"/>
    <w:rsid w:val="00E47330"/>
    <w:rsid w:val="00E513A5"/>
    <w:rsid w:val="00E51B0B"/>
    <w:rsid w:val="00E51BA1"/>
    <w:rsid w:val="00E51CE0"/>
    <w:rsid w:val="00E520C7"/>
    <w:rsid w:val="00E532CF"/>
    <w:rsid w:val="00E535DB"/>
    <w:rsid w:val="00E536C0"/>
    <w:rsid w:val="00E53869"/>
    <w:rsid w:val="00E5478F"/>
    <w:rsid w:val="00E54863"/>
    <w:rsid w:val="00E54E6D"/>
    <w:rsid w:val="00E54FBE"/>
    <w:rsid w:val="00E55B73"/>
    <w:rsid w:val="00E55F84"/>
    <w:rsid w:val="00E56043"/>
    <w:rsid w:val="00E561FE"/>
    <w:rsid w:val="00E56214"/>
    <w:rsid w:val="00E563A5"/>
    <w:rsid w:val="00E565B8"/>
    <w:rsid w:val="00E56787"/>
    <w:rsid w:val="00E56E48"/>
    <w:rsid w:val="00E576AC"/>
    <w:rsid w:val="00E57866"/>
    <w:rsid w:val="00E600D6"/>
    <w:rsid w:val="00E601B5"/>
    <w:rsid w:val="00E60B8A"/>
    <w:rsid w:val="00E619B8"/>
    <w:rsid w:val="00E61A5F"/>
    <w:rsid w:val="00E6251D"/>
    <w:rsid w:val="00E625A2"/>
    <w:rsid w:val="00E626BC"/>
    <w:rsid w:val="00E6394A"/>
    <w:rsid w:val="00E64E57"/>
    <w:rsid w:val="00E66031"/>
    <w:rsid w:val="00E66826"/>
    <w:rsid w:val="00E6685A"/>
    <w:rsid w:val="00E6797D"/>
    <w:rsid w:val="00E67AB1"/>
    <w:rsid w:val="00E7090F"/>
    <w:rsid w:val="00E72387"/>
    <w:rsid w:val="00E72F01"/>
    <w:rsid w:val="00E730D3"/>
    <w:rsid w:val="00E73210"/>
    <w:rsid w:val="00E736E3"/>
    <w:rsid w:val="00E74406"/>
    <w:rsid w:val="00E74438"/>
    <w:rsid w:val="00E7480D"/>
    <w:rsid w:val="00E754A2"/>
    <w:rsid w:val="00E75842"/>
    <w:rsid w:val="00E75C06"/>
    <w:rsid w:val="00E7680C"/>
    <w:rsid w:val="00E76EA7"/>
    <w:rsid w:val="00E76F3D"/>
    <w:rsid w:val="00E77922"/>
    <w:rsid w:val="00E805E4"/>
    <w:rsid w:val="00E809FC"/>
    <w:rsid w:val="00E80C18"/>
    <w:rsid w:val="00E80CFF"/>
    <w:rsid w:val="00E810B2"/>
    <w:rsid w:val="00E81180"/>
    <w:rsid w:val="00E81942"/>
    <w:rsid w:val="00E81B59"/>
    <w:rsid w:val="00E82267"/>
    <w:rsid w:val="00E835DE"/>
    <w:rsid w:val="00E8446B"/>
    <w:rsid w:val="00E84470"/>
    <w:rsid w:val="00E84D6E"/>
    <w:rsid w:val="00E8597C"/>
    <w:rsid w:val="00E86523"/>
    <w:rsid w:val="00E866FD"/>
    <w:rsid w:val="00E8752A"/>
    <w:rsid w:val="00E87703"/>
    <w:rsid w:val="00E87971"/>
    <w:rsid w:val="00E87CDD"/>
    <w:rsid w:val="00E91D4C"/>
    <w:rsid w:val="00E92D95"/>
    <w:rsid w:val="00E93196"/>
    <w:rsid w:val="00E93E97"/>
    <w:rsid w:val="00E941A9"/>
    <w:rsid w:val="00E94B51"/>
    <w:rsid w:val="00E94D6E"/>
    <w:rsid w:val="00E95267"/>
    <w:rsid w:val="00E95635"/>
    <w:rsid w:val="00E96A39"/>
    <w:rsid w:val="00E96B70"/>
    <w:rsid w:val="00E96E31"/>
    <w:rsid w:val="00E971E3"/>
    <w:rsid w:val="00EA0703"/>
    <w:rsid w:val="00EA0900"/>
    <w:rsid w:val="00EA0B66"/>
    <w:rsid w:val="00EA0E2A"/>
    <w:rsid w:val="00EA1D1A"/>
    <w:rsid w:val="00EA2819"/>
    <w:rsid w:val="00EA29EB"/>
    <w:rsid w:val="00EA30AC"/>
    <w:rsid w:val="00EA3B6F"/>
    <w:rsid w:val="00EA45A4"/>
    <w:rsid w:val="00EA46D9"/>
    <w:rsid w:val="00EA4D54"/>
    <w:rsid w:val="00EA4DD9"/>
    <w:rsid w:val="00EA5596"/>
    <w:rsid w:val="00EA5D71"/>
    <w:rsid w:val="00EA6290"/>
    <w:rsid w:val="00EA651A"/>
    <w:rsid w:val="00EA7B62"/>
    <w:rsid w:val="00EA7BCE"/>
    <w:rsid w:val="00EA7DBC"/>
    <w:rsid w:val="00EB002C"/>
    <w:rsid w:val="00EB0381"/>
    <w:rsid w:val="00EB0556"/>
    <w:rsid w:val="00EB0A22"/>
    <w:rsid w:val="00EB0EAB"/>
    <w:rsid w:val="00EB1658"/>
    <w:rsid w:val="00EB242A"/>
    <w:rsid w:val="00EB26DD"/>
    <w:rsid w:val="00EB4140"/>
    <w:rsid w:val="00EB5142"/>
    <w:rsid w:val="00EB78DF"/>
    <w:rsid w:val="00EB78E3"/>
    <w:rsid w:val="00EC0CBF"/>
    <w:rsid w:val="00EC142A"/>
    <w:rsid w:val="00EC165A"/>
    <w:rsid w:val="00EC1A69"/>
    <w:rsid w:val="00EC2016"/>
    <w:rsid w:val="00EC2828"/>
    <w:rsid w:val="00EC316E"/>
    <w:rsid w:val="00EC3B18"/>
    <w:rsid w:val="00EC4405"/>
    <w:rsid w:val="00EC4461"/>
    <w:rsid w:val="00EC467E"/>
    <w:rsid w:val="00EC4732"/>
    <w:rsid w:val="00EC6DB9"/>
    <w:rsid w:val="00ED07ED"/>
    <w:rsid w:val="00ED199C"/>
    <w:rsid w:val="00ED201B"/>
    <w:rsid w:val="00ED20D5"/>
    <w:rsid w:val="00ED20D9"/>
    <w:rsid w:val="00ED20EF"/>
    <w:rsid w:val="00ED239D"/>
    <w:rsid w:val="00ED28E6"/>
    <w:rsid w:val="00ED2C8D"/>
    <w:rsid w:val="00ED30EC"/>
    <w:rsid w:val="00ED4055"/>
    <w:rsid w:val="00ED4767"/>
    <w:rsid w:val="00ED57D3"/>
    <w:rsid w:val="00ED5B3C"/>
    <w:rsid w:val="00ED7E41"/>
    <w:rsid w:val="00EE00FF"/>
    <w:rsid w:val="00EE0CD1"/>
    <w:rsid w:val="00EE23D1"/>
    <w:rsid w:val="00EE2ACF"/>
    <w:rsid w:val="00EE2C16"/>
    <w:rsid w:val="00EE33E3"/>
    <w:rsid w:val="00EE40D1"/>
    <w:rsid w:val="00EE4973"/>
    <w:rsid w:val="00EE6330"/>
    <w:rsid w:val="00EE6C51"/>
    <w:rsid w:val="00EE7359"/>
    <w:rsid w:val="00EF0074"/>
    <w:rsid w:val="00EF25FB"/>
    <w:rsid w:val="00EF26CA"/>
    <w:rsid w:val="00EF3462"/>
    <w:rsid w:val="00EF3F7E"/>
    <w:rsid w:val="00EF45CF"/>
    <w:rsid w:val="00EF4A6A"/>
    <w:rsid w:val="00EF4AFE"/>
    <w:rsid w:val="00EF4BB0"/>
    <w:rsid w:val="00EF61F3"/>
    <w:rsid w:val="00EF65B5"/>
    <w:rsid w:val="00EF66C9"/>
    <w:rsid w:val="00EF692A"/>
    <w:rsid w:val="00F008A1"/>
    <w:rsid w:val="00F008E7"/>
    <w:rsid w:val="00F00D6A"/>
    <w:rsid w:val="00F00FDA"/>
    <w:rsid w:val="00F012D2"/>
    <w:rsid w:val="00F025CD"/>
    <w:rsid w:val="00F02E04"/>
    <w:rsid w:val="00F05593"/>
    <w:rsid w:val="00F0620F"/>
    <w:rsid w:val="00F063BF"/>
    <w:rsid w:val="00F06D6B"/>
    <w:rsid w:val="00F0709E"/>
    <w:rsid w:val="00F0729A"/>
    <w:rsid w:val="00F073DB"/>
    <w:rsid w:val="00F07915"/>
    <w:rsid w:val="00F10C7E"/>
    <w:rsid w:val="00F111C0"/>
    <w:rsid w:val="00F11305"/>
    <w:rsid w:val="00F113F4"/>
    <w:rsid w:val="00F116C9"/>
    <w:rsid w:val="00F11F6A"/>
    <w:rsid w:val="00F12608"/>
    <w:rsid w:val="00F12F95"/>
    <w:rsid w:val="00F13689"/>
    <w:rsid w:val="00F1383D"/>
    <w:rsid w:val="00F14BB0"/>
    <w:rsid w:val="00F150A9"/>
    <w:rsid w:val="00F15148"/>
    <w:rsid w:val="00F15DB4"/>
    <w:rsid w:val="00F16A8D"/>
    <w:rsid w:val="00F16F07"/>
    <w:rsid w:val="00F16F4D"/>
    <w:rsid w:val="00F16FC9"/>
    <w:rsid w:val="00F1700C"/>
    <w:rsid w:val="00F171B6"/>
    <w:rsid w:val="00F2027A"/>
    <w:rsid w:val="00F208CE"/>
    <w:rsid w:val="00F20CE6"/>
    <w:rsid w:val="00F21075"/>
    <w:rsid w:val="00F21170"/>
    <w:rsid w:val="00F2178F"/>
    <w:rsid w:val="00F21F69"/>
    <w:rsid w:val="00F22117"/>
    <w:rsid w:val="00F225E2"/>
    <w:rsid w:val="00F22CF6"/>
    <w:rsid w:val="00F23EF7"/>
    <w:rsid w:val="00F25053"/>
    <w:rsid w:val="00F2662C"/>
    <w:rsid w:val="00F300DA"/>
    <w:rsid w:val="00F30123"/>
    <w:rsid w:val="00F30517"/>
    <w:rsid w:val="00F307B8"/>
    <w:rsid w:val="00F31033"/>
    <w:rsid w:val="00F31AFA"/>
    <w:rsid w:val="00F32757"/>
    <w:rsid w:val="00F3289A"/>
    <w:rsid w:val="00F328F6"/>
    <w:rsid w:val="00F337B1"/>
    <w:rsid w:val="00F352EF"/>
    <w:rsid w:val="00F3552E"/>
    <w:rsid w:val="00F3629A"/>
    <w:rsid w:val="00F370EF"/>
    <w:rsid w:val="00F372BF"/>
    <w:rsid w:val="00F37669"/>
    <w:rsid w:val="00F40952"/>
    <w:rsid w:val="00F40BCD"/>
    <w:rsid w:val="00F410BE"/>
    <w:rsid w:val="00F416A2"/>
    <w:rsid w:val="00F42197"/>
    <w:rsid w:val="00F4232A"/>
    <w:rsid w:val="00F42468"/>
    <w:rsid w:val="00F4267B"/>
    <w:rsid w:val="00F437EC"/>
    <w:rsid w:val="00F43C6F"/>
    <w:rsid w:val="00F44213"/>
    <w:rsid w:val="00F44A55"/>
    <w:rsid w:val="00F44AA2"/>
    <w:rsid w:val="00F4612C"/>
    <w:rsid w:val="00F461BB"/>
    <w:rsid w:val="00F50023"/>
    <w:rsid w:val="00F505EA"/>
    <w:rsid w:val="00F50AA1"/>
    <w:rsid w:val="00F521BE"/>
    <w:rsid w:val="00F522FE"/>
    <w:rsid w:val="00F527D9"/>
    <w:rsid w:val="00F52B2A"/>
    <w:rsid w:val="00F52E5E"/>
    <w:rsid w:val="00F532F5"/>
    <w:rsid w:val="00F53C31"/>
    <w:rsid w:val="00F53E07"/>
    <w:rsid w:val="00F53FF4"/>
    <w:rsid w:val="00F54511"/>
    <w:rsid w:val="00F55431"/>
    <w:rsid w:val="00F561CC"/>
    <w:rsid w:val="00F5648A"/>
    <w:rsid w:val="00F564AB"/>
    <w:rsid w:val="00F56BD3"/>
    <w:rsid w:val="00F56F27"/>
    <w:rsid w:val="00F56F81"/>
    <w:rsid w:val="00F57C13"/>
    <w:rsid w:val="00F602E6"/>
    <w:rsid w:val="00F60A9C"/>
    <w:rsid w:val="00F6130D"/>
    <w:rsid w:val="00F61436"/>
    <w:rsid w:val="00F6184A"/>
    <w:rsid w:val="00F62FA8"/>
    <w:rsid w:val="00F63287"/>
    <w:rsid w:val="00F6447A"/>
    <w:rsid w:val="00F64F81"/>
    <w:rsid w:val="00F6585A"/>
    <w:rsid w:val="00F66651"/>
    <w:rsid w:val="00F67002"/>
    <w:rsid w:val="00F67028"/>
    <w:rsid w:val="00F67241"/>
    <w:rsid w:val="00F676A0"/>
    <w:rsid w:val="00F67C01"/>
    <w:rsid w:val="00F70A79"/>
    <w:rsid w:val="00F71CD7"/>
    <w:rsid w:val="00F72874"/>
    <w:rsid w:val="00F73463"/>
    <w:rsid w:val="00F73524"/>
    <w:rsid w:val="00F73CF1"/>
    <w:rsid w:val="00F74253"/>
    <w:rsid w:val="00F745D2"/>
    <w:rsid w:val="00F74625"/>
    <w:rsid w:val="00F74CE6"/>
    <w:rsid w:val="00F75309"/>
    <w:rsid w:val="00F7566D"/>
    <w:rsid w:val="00F758C5"/>
    <w:rsid w:val="00F80B8A"/>
    <w:rsid w:val="00F80E50"/>
    <w:rsid w:val="00F83006"/>
    <w:rsid w:val="00F831A4"/>
    <w:rsid w:val="00F84323"/>
    <w:rsid w:val="00F847D1"/>
    <w:rsid w:val="00F84AE5"/>
    <w:rsid w:val="00F84D22"/>
    <w:rsid w:val="00F84D33"/>
    <w:rsid w:val="00F84EC0"/>
    <w:rsid w:val="00F85763"/>
    <w:rsid w:val="00F85E16"/>
    <w:rsid w:val="00F876F7"/>
    <w:rsid w:val="00F90571"/>
    <w:rsid w:val="00F90B10"/>
    <w:rsid w:val="00F9102E"/>
    <w:rsid w:val="00F921B2"/>
    <w:rsid w:val="00F921F7"/>
    <w:rsid w:val="00F9227F"/>
    <w:rsid w:val="00F92830"/>
    <w:rsid w:val="00F93AD3"/>
    <w:rsid w:val="00F93ADC"/>
    <w:rsid w:val="00F944B3"/>
    <w:rsid w:val="00F9458B"/>
    <w:rsid w:val="00F94817"/>
    <w:rsid w:val="00F950EF"/>
    <w:rsid w:val="00F951CB"/>
    <w:rsid w:val="00F952DB"/>
    <w:rsid w:val="00F954CB"/>
    <w:rsid w:val="00F95994"/>
    <w:rsid w:val="00F96DA4"/>
    <w:rsid w:val="00F97297"/>
    <w:rsid w:val="00F972A5"/>
    <w:rsid w:val="00F97529"/>
    <w:rsid w:val="00F977B9"/>
    <w:rsid w:val="00FA0500"/>
    <w:rsid w:val="00FA0D4D"/>
    <w:rsid w:val="00FA0D78"/>
    <w:rsid w:val="00FA150D"/>
    <w:rsid w:val="00FA263E"/>
    <w:rsid w:val="00FA273F"/>
    <w:rsid w:val="00FA35E5"/>
    <w:rsid w:val="00FA489C"/>
    <w:rsid w:val="00FA49D5"/>
    <w:rsid w:val="00FA584D"/>
    <w:rsid w:val="00FA6C4A"/>
    <w:rsid w:val="00FA75E6"/>
    <w:rsid w:val="00FB103D"/>
    <w:rsid w:val="00FB1310"/>
    <w:rsid w:val="00FB1496"/>
    <w:rsid w:val="00FB1940"/>
    <w:rsid w:val="00FB1AA9"/>
    <w:rsid w:val="00FB22F7"/>
    <w:rsid w:val="00FB27D6"/>
    <w:rsid w:val="00FB28B6"/>
    <w:rsid w:val="00FB2FF1"/>
    <w:rsid w:val="00FB328C"/>
    <w:rsid w:val="00FB378F"/>
    <w:rsid w:val="00FB3831"/>
    <w:rsid w:val="00FB50BC"/>
    <w:rsid w:val="00FB54DE"/>
    <w:rsid w:val="00FB5965"/>
    <w:rsid w:val="00FB5A6A"/>
    <w:rsid w:val="00FB6B2E"/>
    <w:rsid w:val="00FB76D4"/>
    <w:rsid w:val="00FB77A4"/>
    <w:rsid w:val="00FC0940"/>
    <w:rsid w:val="00FC2E5E"/>
    <w:rsid w:val="00FC349B"/>
    <w:rsid w:val="00FC438E"/>
    <w:rsid w:val="00FC4795"/>
    <w:rsid w:val="00FC5195"/>
    <w:rsid w:val="00FC5563"/>
    <w:rsid w:val="00FC56CC"/>
    <w:rsid w:val="00FC5A5C"/>
    <w:rsid w:val="00FC7004"/>
    <w:rsid w:val="00FC75E5"/>
    <w:rsid w:val="00FD01ED"/>
    <w:rsid w:val="00FD04CA"/>
    <w:rsid w:val="00FD0E49"/>
    <w:rsid w:val="00FD0FEB"/>
    <w:rsid w:val="00FD16D2"/>
    <w:rsid w:val="00FD16F1"/>
    <w:rsid w:val="00FD1C59"/>
    <w:rsid w:val="00FD1C5F"/>
    <w:rsid w:val="00FD21C5"/>
    <w:rsid w:val="00FD29D2"/>
    <w:rsid w:val="00FD2F29"/>
    <w:rsid w:val="00FD4E21"/>
    <w:rsid w:val="00FD6136"/>
    <w:rsid w:val="00FD65FE"/>
    <w:rsid w:val="00FD6B85"/>
    <w:rsid w:val="00FE010C"/>
    <w:rsid w:val="00FE04B9"/>
    <w:rsid w:val="00FE16BF"/>
    <w:rsid w:val="00FE2590"/>
    <w:rsid w:val="00FE38E6"/>
    <w:rsid w:val="00FE3992"/>
    <w:rsid w:val="00FE42F8"/>
    <w:rsid w:val="00FE489A"/>
    <w:rsid w:val="00FE57F7"/>
    <w:rsid w:val="00FE5869"/>
    <w:rsid w:val="00FE68B2"/>
    <w:rsid w:val="00FE6C20"/>
    <w:rsid w:val="00FE6FFF"/>
    <w:rsid w:val="00FE7466"/>
    <w:rsid w:val="00FE7A67"/>
    <w:rsid w:val="00FE7AF1"/>
    <w:rsid w:val="00FE7D3E"/>
    <w:rsid w:val="00FF015A"/>
    <w:rsid w:val="00FF0591"/>
    <w:rsid w:val="00FF1841"/>
    <w:rsid w:val="00FF2736"/>
    <w:rsid w:val="00FF336C"/>
    <w:rsid w:val="00FF3C57"/>
    <w:rsid w:val="00FF3E47"/>
    <w:rsid w:val="00FF3E9E"/>
    <w:rsid w:val="00FF42B9"/>
    <w:rsid w:val="00FF4D3E"/>
    <w:rsid w:val="00FF557C"/>
    <w:rsid w:val="00FF5731"/>
    <w:rsid w:val="00FF5DB7"/>
    <w:rsid w:val="00FF5E11"/>
    <w:rsid w:val="00FF6590"/>
    <w:rsid w:val="00FF6BD2"/>
    <w:rsid w:val="00FF720A"/>
    <w:rsid w:val="00FF76E7"/>
    <w:rsid w:val="00FF7ED8"/>
    <w:rsid w:val="013800AB"/>
    <w:rsid w:val="014F7C38"/>
    <w:rsid w:val="018316E5"/>
    <w:rsid w:val="02095E03"/>
    <w:rsid w:val="032164B1"/>
    <w:rsid w:val="034C3338"/>
    <w:rsid w:val="03C83A62"/>
    <w:rsid w:val="054B3C02"/>
    <w:rsid w:val="05DD13E7"/>
    <w:rsid w:val="061557B8"/>
    <w:rsid w:val="065218F5"/>
    <w:rsid w:val="06DF3A40"/>
    <w:rsid w:val="074C2022"/>
    <w:rsid w:val="07B7068F"/>
    <w:rsid w:val="07D63DE8"/>
    <w:rsid w:val="08B862CD"/>
    <w:rsid w:val="08FB3F8D"/>
    <w:rsid w:val="09EC4A75"/>
    <w:rsid w:val="0A692C56"/>
    <w:rsid w:val="0ADC391C"/>
    <w:rsid w:val="0C475B3F"/>
    <w:rsid w:val="0D1E4A88"/>
    <w:rsid w:val="0DEA2BB9"/>
    <w:rsid w:val="0FCC4159"/>
    <w:rsid w:val="104E3966"/>
    <w:rsid w:val="10F63288"/>
    <w:rsid w:val="11090193"/>
    <w:rsid w:val="1171007E"/>
    <w:rsid w:val="11EC4158"/>
    <w:rsid w:val="126A1950"/>
    <w:rsid w:val="13805EC6"/>
    <w:rsid w:val="13C06C97"/>
    <w:rsid w:val="140728E2"/>
    <w:rsid w:val="140E6608"/>
    <w:rsid w:val="153A13A0"/>
    <w:rsid w:val="154313F3"/>
    <w:rsid w:val="157D1021"/>
    <w:rsid w:val="15AF7BC0"/>
    <w:rsid w:val="163D735F"/>
    <w:rsid w:val="172D56DA"/>
    <w:rsid w:val="17C8140D"/>
    <w:rsid w:val="187111EE"/>
    <w:rsid w:val="192446EB"/>
    <w:rsid w:val="1935614D"/>
    <w:rsid w:val="1ACD41FC"/>
    <w:rsid w:val="1B093E9F"/>
    <w:rsid w:val="1B165305"/>
    <w:rsid w:val="1B1E477F"/>
    <w:rsid w:val="1B9B2193"/>
    <w:rsid w:val="1BE541D9"/>
    <w:rsid w:val="1C0722A4"/>
    <w:rsid w:val="1C14667A"/>
    <w:rsid w:val="1E331CF6"/>
    <w:rsid w:val="1E883A47"/>
    <w:rsid w:val="1E9B5D1D"/>
    <w:rsid w:val="1F6407FE"/>
    <w:rsid w:val="1FAF195D"/>
    <w:rsid w:val="20695A06"/>
    <w:rsid w:val="20894990"/>
    <w:rsid w:val="20D856FC"/>
    <w:rsid w:val="219B4ABC"/>
    <w:rsid w:val="23BE1FB8"/>
    <w:rsid w:val="257C37C0"/>
    <w:rsid w:val="268A3E7D"/>
    <w:rsid w:val="29080B6B"/>
    <w:rsid w:val="29427C6E"/>
    <w:rsid w:val="29CD2356"/>
    <w:rsid w:val="29F33A46"/>
    <w:rsid w:val="2A207AE1"/>
    <w:rsid w:val="2B2F2F5D"/>
    <w:rsid w:val="2B411FE5"/>
    <w:rsid w:val="2B9F5CBA"/>
    <w:rsid w:val="2C960116"/>
    <w:rsid w:val="2D1363D3"/>
    <w:rsid w:val="2D7B7432"/>
    <w:rsid w:val="2E1B772D"/>
    <w:rsid w:val="2E312C26"/>
    <w:rsid w:val="2E313183"/>
    <w:rsid w:val="2EFB18ED"/>
    <w:rsid w:val="2F9E3701"/>
    <w:rsid w:val="30403C8F"/>
    <w:rsid w:val="31FF3219"/>
    <w:rsid w:val="33A1602A"/>
    <w:rsid w:val="349D1D81"/>
    <w:rsid w:val="34EA0772"/>
    <w:rsid w:val="371546CC"/>
    <w:rsid w:val="37443F0B"/>
    <w:rsid w:val="38D07339"/>
    <w:rsid w:val="38EB0524"/>
    <w:rsid w:val="3B2646E4"/>
    <w:rsid w:val="3B830147"/>
    <w:rsid w:val="3C5448CE"/>
    <w:rsid w:val="3E0A7DA8"/>
    <w:rsid w:val="3E0D79F8"/>
    <w:rsid w:val="3E1C41E7"/>
    <w:rsid w:val="3E8F2242"/>
    <w:rsid w:val="3EE0331A"/>
    <w:rsid w:val="3F7D6269"/>
    <w:rsid w:val="3F9100CF"/>
    <w:rsid w:val="4096026E"/>
    <w:rsid w:val="40AB5CA5"/>
    <w:rsid w:val="40FD1D17"/>
    <w:rsid w:val="411B0CC8"/>
    <w:rsid w:val="411C5083"/>
    <w:rsid w:val="430E0FC1"/>
    <w:rsid w:val="43FB69F1"/>
    <w:rsid w:val="443A71E2"/>
    <w:rsid w:val="44437C1E"/>
    <w:rsid w:val="45D03785"/>
    <w:rsid w:val="45F54B3B"/>
    <w:rsid w:val="467C1F5C"/>
    <w:rsid w:val="46D61CC2"/>
    <w:rsid w:val="47575B39"/>
    <w:rsid w:val="477E5C17"/>
    <w:rsid w:val="47D14D62"/>
    <w:rsid w:val="47E541E2"/>
    <w:rsid w:val="47E56431"/>
    <w:rsid w:val="483C5510"/>
    <w:rsid w:val="486375E9"/>
    <w:rsid w:val="48C97ED7"/>
    <w:rsid w:val="4A9A47D2"/>
    <w:rsid w:val="4B3B755B"/>
    <w:rsid w:val="4B567788"/>
    <w:rsid w:val="4B667ECC"/>
    <w:rsid w:val="4C28639F"/>
    <w:rsid w:val="4C344FA5"/>
    <w:rsid w:val="4D1233FA"/>
    <w:rsid w:val="4D597C0B"/>
    <w:rsid w:val="4E5522FD"/>
    <w:rsid w:val="4E933E1B"/>
    <w:rsid w:val="512F65B6"/>
    <w:rsid w:val="524149BA"/>
    <w:rsid w:val="52FD68C3"/>
    <w:rsid w:val="5348664B"/>
    <w:rsid w:val="53890B84"/>
    <w:rsid w:val="53D02897"/>
    <w:rsid w:val="543F2C78"/>
    <w:rsid w:val="545D0EFA"/>
    <w:rsid w:val="550F5E6A"/>
    <w:rsid w:val="55363397"/>
    <w:rsid w:val="558F2C60"/>
    <w:rsid w:val="55A33E97"/>
    <w:rsid w:val="55F758CC"/>
    <w:rsid w:val="561921B7"/>
    <w:rsid w:val="56F61F03"/>
    <w:rsid w:val="574601DF"/>
    <w:rsid w:val="5858776B"/>
    <w:rsid w:val="58CC15F6"/>
    <w:rsid w:val="5A85632C"/>
    <w:rsid w:val="5B10237C"/>
    <w:rsid w:val="5C3C630C"/>
    <w:rsid w:val="5C503519"/>
    <w:rsid w:val="5C9F541A"/>
    <w:rsid w:val="5D1D3472"/>
    <w:rsid w:val="60294D46"/>
    <w:rsid w:val="60C62204"/>
    <w:rsid w:val="60CF28CF"/>
    <w:rsid w:val="61F2660D"/>
    <w:rsid w:val="62016EA5"/>
    <w:rsid w:val="62307CDF"/>
    <w:rsid w:val="62307DEF"/>
    <w:rsid w:val="632B5FD5"/>
    <w:rsid w:val="633039CF"/>
    <w:rsid w:val="636B51FB"/>
    <w:rsid w:val="639C1907"/>
    <w:rsid w:val="64504528"/>
    <w:rsid w:val="645B18D1"/>
    <w:rsid w:val="648732BC"/>
    <w:rsid w:val="64DB6D99"/>
    <w:rsid w:val="64F044D1"/>
    <w:rsid w:val="64FB0A55"/>
    <w:rsid w:val="667D69CF"/>
    <w:rsid w:val="66AB42B8"/>
    <w:rsid w:val="670D2B1D"/>
    <w:rsid w:val="688A6A27"/>
    <w:rsid w:val="69102671"/>
    <w:rsid w:val="693A2AA4"/>
    <w:rsid w:val="69A663F3"/>
    <w:rsid w:val="69B96C42"/>
    <w:rsid w:val="6B8F601D"/>
    <w:rsid w:val="6BCA0EDC"/>
    <w:rsid w:val="6BF07171"/>
    <w:rsid w:val="6C181D77"/>
    <w:rsid w:val="6C555233"/>
    <w:rsid w:val="6C5D09FB"/>
    <w:rsid w:val="6D0E4FF4"/>
    <w:rsid w:val="6DCA5463"/>
    <w:rsid w:val="6DF94A91"/>
    <w:rsid w:val="6EAB42C1"/>
    <w:rsid w:val="6F232648"/>
    <w:rsid w:val="6F4D7DD9"/>
    <w:rsid w:val="703E4257"/>
    <w:rsid w:val="70B1348E"/>
    <w:rsid w:val="715445DC"/>
    <w:rsid w:val="716976CA"/>
    <w:rsid w:val="71F80444"/>
    <w:rsid w:val="72AB5432"/>
    <w:rsid w:val="735F6D45"/>
    <w:rsid w:val="74607DFA"/>
    <w:rsid w:val="74A929F6"/>
    <w:rsid w:val="75566845"/>
    <w:rsid w:val="76102223"/>
    <w:rsid w:val="7708053C"/>
    <w:rsid w:val="77D97BD0"/>
    <w:rsid w:val="7864593C"/>
    <w:rsid w:val="79754D92"/>
    <w:rsid w:val="79A84345"/>
    <w:rsid w:val="7A2A4CC6"/>
    <w:rsid w:val="7B7E08A8"/>
    <w:rsid w:val="7B89001B"/>
    <w:rsid w:val="7C47224B"/>
    <w:rsid w:val="7CF82C36"/>
    <w:rsid w:val="7CFE5516"/>
    <w:rsid w:val="7D7C2866"/>
    <w:rsid w:val="7DB31C6F"/>
    <w:rsid w:val="7E782D45"/>
    <w:rsid w:val="7EC800E7"/>
    <w:rsid w:val="7ED17C06"/>
    <w:rsid w:val="7F72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48" w:lineRule="exact"/>
      <w:ind w:firstLine="200" w:firstLineChars="200"/>
      <w:jc w:val="both"/>
    </w:pPr>
    <w:rPr>
      <w:rFonts w:ascii="仿宋_GB2312" w:hAnsi="仿宋_GB2312" w:eastAsia="仿宋_GB2312" w:cs="Times New Roman"/>
      <w:kern w:val="2"/>
      <w:sz w:val="32"/>
      <w:szCs w:val="24"/>
      <w:lang w:val="en-US" w:eastAsia="zh-CN" w:bidi="ar-SA"/>
    </w:rPr>
  </w:style>
  <w:style w:type="paragraph" w:styleId="5">
    <w:name w:val="heading 1"/>
    <w:basedOn w:val="1"/>
    <w:next w:val="1"/>
    <w:link w:val="20"/>
    <w:autoRedefine/>
    <w:qFormat/>
    <w:uiPriority w:val="9"/>
    <w:pPr>
      <w:keepNext/>
      <w:keepLines/>
      <w:spacing w:before="120" w:after="120" w:line="570" w:lineRule="exact"/>
      <w:ind w:firstLine="0" w:firstLineChars="0"/>
      <w:jc w:val="center"/>
      <w:outlineLvl w:val="0"/>
    </w:pPr>
    <w:rPr>
      <w:rFonts w:eastAsia="黑体"/>
      <w:bCs/>
      <w:kern w:val="44"/>
      <w:szCs w:val="32"/>
    </w:rPr>
  </w:style>
  <w:style w:type="paragraph" w:styleId="6">
    <w:name w:val="heading 2"/>
    <w:basedOn w:val="1"/>
    <w:next w:val="1"/>
    <w:link w:val="21"/>
    <w:autoRedefine/>
    <w:unhideWhenUsed/>
    <w:qFormat/>
    <w:uiPriority w:val="9"/>
    <w:pPr>
      <w:keepNext/>
      <w:keepLines/>
      <w:spacing w:beforeLines="50"/>
      <w:ind w:firstLine="0" w:firstLineChars="0"/>
      <w:jc w:val="center"/>
      <w:outlineLvl w:val="1"/>
    </w:pPr>
    <w:rPr>
      <w:rFonts w:eastAsia="楷体_GB2312" w:asciiTheme="majorHAnsi" w:hAnsiTheme="majorHAnsi" w:cstheme="majorBidi"/>
      <w:b/>
      <w:szCs w:val="32"/>
    </w:rPr>
  </w:style>
  <w:style w:type="paragraph" w:styleId="7">
    <w:name w:val="heading 3"/>
    <w:basedOn w:val="1"/>
    <w:next w:val="1"/>
    <w:link w:val="32"/>
    <w:autoRedefine/>
    <w:semiHidden/>
    <w:unhideWhenUsed/>
    <w:qFormat/>
    <w:uiPriority w:val="9"/>
    <w:pPr>
      <w:keepNext/>
      <w:keepLines/>
      <w:spacing w:before="260" w:after="260" w:line="416" w:lineRule="auto"/>
      <w:outlineLvl w:val="2"/>
    </w:pPr>
    <w:rPr>
      <w:b/>
      <w:bCs/>
      <w:szCs w:val="32"/>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0"/>
    <w:rPr>
      <w:rFonts w:eastAsia="Times New Roman"/>
      <w:szCs w:val="21"/>
    </w:rPr>
  </w:style>
  <w:style w:type="paragraph" w:customStyle="1" w:styleId="3">
    <w:name w:val="正文1"/>
    <w:next w:val="2"/>
    <w:link w:val="33"/>
    <w:autoRedefine/>
    <w:qFormat/>
    <w:uiPriority w:val="0"/>
    <w:pPr>
      <w:jc w:val="both"/>
    </w:pPr>
    <w:rPr>
      <w:rFonts w:ascii="Calibri" w:hAnsi="Calibri" w:eastAsia="宋体" w:cs="黑体"/>
      <w:sz w:val="21"/>
      <w:szCs w:val="22"/>
      <w:lang w:val="en-US" w:eastAsia="zh-CN" w:bidi="ar-SA"/>
    </w:rPr>
  </w:style>
  <w:style w:type="paragraph" w:styleId="4">
    <w:name w:val="Plain Text"/>
    <w:basedOn w:val="1"/>
    <w:link w:val="31"/>
    <w:autoRedefine/>
    <w:qFormat/>
    <w:uiPriority w:val="0"/>
    <w:pPr>
      <w:spacing w:line="240" w:lineRule="auto"/>
      <w:ind w:firstLine="0" w:firstLineChars="0"/>
    </w:pPr>
    <w:rPr>
      <w:rFonts w:ascii="宋体" w:hAnsi="Courier New" w:eastAsia="宋体"/>
      <w:sz w:val="21"/>
    </w:rPr>
  </w:style>
  <w:style w:type="paragraph" w:styleId="8">
    <w:name w:val="annotation text"/>
    <w:basedOn w:val="1"/>
    <w:link w:val="25"/>
    <w:autoRedefine/>
    <w:unhideWhenUsed/>
    <w:qFormat/>
    <w:uiPriority w:val="99"/>
    <w:pPr>
      <w:jc w:val="left"/>
    </w:pPr>
  </w:style>
  <w:style w:type="paragraph" w:styleId="9">
    <w:name w:val="Balloon Text"/>
    <w:basedOn w:val="1"/>
    <w:link w:val="24"/>
    <w:autoRedefine/>
    <w:unhideWhenUsed/>
    <w:qFormat/>
    <w:uiPriority w:val="99"/>
    <w:pPr>
      <w:spacing w:line="240" w:lineRule="auto"/>
    </w:pPr>
    <w:rPr>
      <w:sz w:val="18"/>
      <w:szCs w:val="18"/>
    </w:rPr>
  </w:style>
  <w:style w:type="paragraph" w:styleId="10">
    <w:name w:val="footer"/>
    <w:basedOn w:val="1"/>
    <w:link w:val="23"/>
    <w:autoRedefine/>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autoRedefine/>
    <w:unhideWhenUsed/>
    <w:qFormat/>
    <w:uiPriority w:val="39"/>
    <w:pPr>
      <w:tabs>
        <w:tab w:val="right" w:leader="dot" w:pos="8296"/>
      </w:tabs>
      <w:ind w:firstLine="0" w:firstLineChars="0"/>
    </w:pPr>
  </w:style>
  <w:style w:type="paragraph" w:styleId="13">
    <w:name w:val="toc 2"/>
    <w:basedOn w:val="1"/>
    <w:next w:val="1"/>
    <w:autoRedefine/>
    <w:unhideWhenUsed/>
    <w:qFormat/>
    <w:uiPriority w:val="39"/>
    <w:pPr>
      <w:tabs>
        <w:tab w:val="right" w:leader="dot" w:pos="8296"/>
      </w:tabs>
      <w:ind w:left="560" w:leftChars="200" w:firstLine="5" w:firstLineChars="2"/>
    </w:pPr>
  </w:style>
  <w:style w:type="paragraph" w:styleId="14">
    <w:name w:val="annotation subject"/>
    <w:basedOn w:val="8"/>
    <w:next w:val="8"/>
    <w:link w:val="26"/>
    <w:autoRedefine/>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7"/>
    <w:autoRedefine/>
    <w:unhideWhenUsed/>
    <w:qFormat/>
    <w:uiPriority w:val="99"/>
    <w:rPr>
      <w:sz w:val="21"/>
      <w:szCs w:val="21"/>
    </w:rPr>
  </w:style>
  <w:style w:type="character" w:customStyle="1" w:styleId="20">
    <w:name w:val="标题 1 Char"/>
    <w:basedOn w:val="17"/>
    <w:link w:val="5"/>
    <w:autoRedefine/>
    <w:qFormat/>
    <w:uiPriority w:val="9"/>
    <w:rPr>
      <w:rFonts w:ascii="仿宋_GB2312" w:hAnsi="仿宋_GB2312" w:eastAsia="黑体"/>
      <w:bCs/>
      <w:kern w:val="44"/>
      <w:sz w:val="32"/>
      <w:szCs w:val="32"/>
    </w:rPr>
  </w:style>
  <w:style w:type="character" w:customStyle="1" w:styleId="21">
    <w:name w:val="标题 2 Char"/>
    <w:basedOn w:val="17"/>
    <w:link w:val="6"/>
    <w:autoRedefine/>
    <w:qFormat/>
    <w:uiPriority w:val="9"/>
    <w:rPr>
      <w:rFonts w:eastAsia="楷体_GB2312" w:asciiTheme="majorHAnsi" w:hAnsiTheme="majorHAnsi" w:cstheme="majorBidi"/>
      <w:b/>
      <w:kern w:val="2"/>
      <w:sz w:val="32"/>
      <w:szCs w:val="32"/>
    </w:rPr>
  </w:style>
  <w:style w:type="character" w:customStyle="1" w:styleId="22">
    <w:name w:val="页眉 Char"/>
    <w:basedOn w:val="17"/>
    <w:link w:val="11"/>
    <w:autoRedefine/>
    <w:qFormat/>
    <w:uiPriority w:val="99"/>
    <w:rPr>
      <w:rFonts w:ascii="仿宋_GB2312" w:hAnsi="仿宋_GB2312" w:eastAsia="仿宋_GB2312" w:cs="Times New Roman"/>
      <w:sz w:val="18"/>
      <w:szCs w:val="18"/>
    </w:rPr>
  </w:style>
  <w:style w:type="character" w:customStyle="1" w:styleId="23">
    <w:name w:val="页脚 Char"/>
    <w:basedOn w:val="17"/>
    <w:link w:val="10"/>
    <w:autoRedefine/>
    <w:qFormat/>
    <w:uiPriority w:val="99"/>
    <w:rPr>
      <w:rFonts w:ascii="仿宋_GB2312" w:hAnsi="仿宋_GB2312" w:eastAsia="仿宋_GB2312" w:cs="Times New Roman"/>
      <w:sz w:val="18"/>
      <w:szCs w:val="18"/>
    </w:rPr>
  </w:style>
  <w:style w:type="character" w:customStyle="1" w:styleId="24">
    <w:name w:val="批注框文本 Char"/>
    <w:basedOn w:val="17"/>
    <w:link w:val="9"/>
    <w:autoRedefine/>
    <w:semiHidden/>
    <w:qFormat/>
    <w:uiPriority w:val="99"/>
    <w:rPr>
      <w:rFonts w:ascii="仿宋_GB2312" w:hAnsi="仿宋_GB2312" w:eastAsia="仿宋_GB2312" w:cs="Times New Roman"/>
      <w:sz w:val="18"/>
      <w:szCs w:val="18"/>
    </w:rPr>
  </w:style>
  <w:style w:type="character" w:customStyle="1" w:styleId="25">
    <w:name w:val="批注文字 Char"/>
    <w:basedOn w:val="17"/>
    <w:link w:val="8"/>
    <w:autoRedefine/>
    <w:semiHidden/>
    <w:qFormat/>
    <w:uiPriority w:val="99"/>
    <w:rPr>
      <w:rFonts w:ascii="仿宋_GB2312" w:hAnsi="仿宋_GB2312" w:eastAsia="仿宋_GB2312" w:cs="Times New Roman"/>
      <w:sz w:val="28"/>
      <w:szCs w:val="24"/>
    </w:rPr>
  </w:style>
  <w:style w:type="character" w:customStyle="1" w:styleId="26">
    <w:name w:val="批注主题 Char"/>
    <w:basedOn w:val="25"/>
    <w:link w:val="14"/>
    <w:autoRedefine/>
    <w:semiHidden/>
    <w:qFormat/>
    <w:uiPriority w:val="99"/>
    <w:rPr>
      <w:rFonts w:ascii="仿宋_GB2312" w:hAnsi="仿宋_GB2312" w:eastAsia="仿宋_GB2312" w:cs="Times New Roman"/>
      <w:b/>
      <w:bCs/>
      <w:sz w:val="28"/>
      <w:szCs w:val="24"/>
    </w:rPr>
  </w:style>
  <w:style w:type="paragraph" w:customStyle="1" w:styleId="27">
    <w:name w:val="TOC 标题1"/>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rPr>
  </w:style>
  <w:style w:type="paragraph" w:customStyle="1" w:styleId="28">
    <w:name w:val="列表段落1"/>
    <w:basedOn w:val="1"/>
    <w:autoRedefine/>
    <w:qFormat/>
    <w:uiPriority w:val="99"/>
    <w:pPr>
      <w:ind w:firstLine="420"/>
    </w:pPr>
  </w:style>
  <w:style w:type="paragraph" w:styleId="29">
    <w:name w:val="List Paragraph"/>
    <w:basedOn w:val="1"/>
    <w:autoRedefine/>
    <w:qFormat/>
    <w:uiPriority w:val="99"/>
    <w:pPr>
      <w:ind w:firstLine="420"/>
    </w:pPr>
  </w:style>
  <w:style w:type="paragraph" w:customStyle="1" w:styleId="30">
    <w:name w:val="Char"/>
    <w:basedOn w:val="1"/>
    <w:autoRedefine/>
    <w:qFormat/>
    <w:uiPriority w:val="0"/>
    <w:pPr>
      <w:autoSpaceDE w:val="0"/>
      <w:autoSpaceDN w:val="0"/>
      <w:adjustRightInd w:val="0"/>
      <w:snapToGrid w:val="0"/>
      <w:spacing w:before="50" w:after="50"/>
      <w:ind w:firstLine="560"/>
    </w:pPr>
    <w:rPr>
      <w:rFonts w:ascii="Times New Roman" w:hAnsi="Times New Roman" w:eastAsia="宋体"/>
      <w:sz w:val="21"/>
      <w:szCs w:val="22"/>
    </w:rPr>
  </w:style>
  <w:style w:type="character" w:customStyle="1" w:styleId="31">
    <w:name w:val="纯文本 Char"/>
    <w:basedOn w:val="17"/>
    <w:link w:val="4"/>
    <w:autoRedefine/>
    <w:qFormat/>
    <w:uiPriority w:val="0"/>
    <w:rPr>
      <w:rFonts w:ascii="宋体" w:hAnsi="Courier New"/>
      <w:kern w:val="2"/>
      <w:sz w:val="21"/>
      <w:szCs w:val="24"/>
    </w:rPr>
  </w:style>
  <w:style w:type="character" w:customStyle="1" w:styleId="32">
    <w:name w:val="标题 3 Char"/>
    <w:basedOn w:val="17"/>
    <w:link w:val="7"/>
    <w:autoRedefine/>
    <w:semiHidden/>
    <w:qFormat/>
    <w:uiPriority w:val="9"/>
    <w:rPr>
      <w:rFonts w:ascii="仿宋_GB2312" w:hAnsi="仿宋_GB2312" w:eastAsia="仿宋_GB2312"/>
      <w:b/>
      <w:bCs/>
      <w:kern w:val="2"/>
      <w:sz w:val="32"/>
      <w:szCs w:val="32"/>
    </w:rPr>
  </w:style>
  <w:style w:type="character" w:customStyle="1" w:styleId="33">
    <w:name w:val="正文1 Char Char"/>
    <w:link w:val="3"/>
    <w:autoRedefine/>
    <w:qFormat/>
    <w:uiPriority w:val="0"/>
    <w:rPr>
      <w:rFonts w:ascii="Calibri" w:hAnsi="Calibri" w:cs="黑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AE5BE-CC3D-45A0-8BA3-F41CBFD9CB40}">
  <ds:schemaRefs/>
</ds:datastoreItem>
</file>

<file path=docProps/app.xml><?xml version="1.0" encoding="utf-8"?>
<Properties xmlns="http://schemas.openxmlformats.org/officeDocument/2006/extended-properties" xmlns:vt="http://schemas.openxmlformats.org/officeDocument/2006/docPropsVTypes">
  <Template>Normal</Template>
  <Pages>173</Pages>
  <Words>107430</Words>
  <Characters>109144</Characters>
  <Lines>841</Lines>
  <Paragraphs>236</Paragraphs>
  <TotalTime>239</TotalTime>
  <ScaleCrop>false</ScaleCrop>
  <LinksUpToDate>false</LinksUpToDate>
  <CharactersWithSpaces>109583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2021-03-18T07:10:00Z</dcterms:created>
  <dc:creator>Dr. CHENG Zhe</dc:creator>
  <cp:lastModifiedBy>Administrator</cp:lastModifiedBy>
  <dcterms:modified xsi:type="dcterms:W3CDTF">2024-05-07T08:49:55Z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7F58616E0300491EBF71A83AB9DA252C_13</vt:lpwstr>
  </property>
</Properties>
</file>